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Matrice</w:t>
      </w:r>
      <w:r>
        <w:t xml:space="preserve"> </w:t>
      </w:r>
      <w:r>
        <w:t xml:space="preserve">de</w:t>
      </w:r>
      <w:r>
        <w:t xml:space="preserve"> </w:t>
      </w:r>
      <w:r>
        <w:t xml:space="preserve">trasabilitate</w:t>
      </w:r>
      <w:r>
        <w:t xml:space="preserve"> </w:t>
      </w:r>
      <w:r>
        <w:t xml:space="preserve">a</w:t>
      </w:r>
      <w:r>
        <w:t xml:space="preserve"> </w:t>
      </w:r>
      <w:r>
        <w:t xml:space="preserve">cerințelor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2</w:t>
      </w:r>
      <w:r>
        <w:t xml:space="preserve"> </w:t>
      </w:r>
      <w:r>
        <w:t xml:space="preserve">(Backend)</w:t>
      </w:r>
    </w:p>
    <w:p>
      <w:pPr>
        <w:pStyle w:val="Author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scop"/>
      <w:r>
        <w:t xml:space="preserve">1. Scop</w:t>
      </w:r>
      <w:bookmarkEnd w:id="20"/>
    </w:p>
    <w:p>
      <w:pPr>
        <w:pStyle w:val="FirstParagraph"/>
      </w:pPr>
      <w:r>
        <w:t xml:space="preserve">Prezentul document asigură</w:t>
      </w:r>
      <w:r>
        <w:t xml:space="preserve"> </w:t>
      </w:r>
      <w:r>
        <w:rPr>
          <w:b/>
        </w:rPr>
        <w:t xml:space="preserve">trasabilitatea</w:t>
      </w:r>
      <w:r>
        <w:t xml:space="preserve"> </w:t>
      </w:r>
      <w:r>
        <w:t xml:space="preserve">dintre cerințele contractuale (caietul de sarcini</w:t>
      </w:r>
      <w:r>
        <w:t xml:space="preserve"> </w:t>
      </w:r>
      <w:r>
        <w:t xml:space="preserve">+ Propunerea Tehnică Lot 2) și livrabilele efective. Pentru fiecare modul/cerință se indică</w:t>
      </w:r>
      <w:r>
        <w:t xml:space="preserve"> </w:t>
      </w:r>
      <w:r>
        <w:rPr>
          <w:b/>
        </w:rPr>
        <w:t xml:space="preserve">dovada</w:t>
      </w:r>
      <w:r>
        <w:t xml:space="preserve"> </w:t>
      </w:r>
      <w:r>
        <w:t xml:space="preserve">(document, endpoint, ecran, test) prin care se poate verifica îndeplinirea.</w:t>
      </w:r>
    </w:p>
    <w:p>
      <w:pPr>
        <w:pStyle w:val="BodyText"/>
      </w:pPr>
      <w:r>
        <w:t xml:space="preserve">Legendă dovezi:</w:t>
      </w:r>
      <w:r>
        <w:t xml:space="preserve"> </w:t>
      </w:r>
      <w:r>
        <w:rPr>
          <w:rStyle w:val="VerbatimChar"/>
        </w:rPr>
        <w:t xml:space="preserve">ARH</w:t>
      </w:r>
      <w:r>
        <w:t xml:space="preserve">=01_Arhitectura ·</w:t>
      </w:r>
      <w:r>
        <w:t xml:space="preserve"> </w:t>
      </w:r>
      <w:r>
        <w:rPr>
          <w:rStyle w:val="VerbatimChar"/>
        </w:rPr>
        <w:t xml:space="preserve">INST</w:t>
      </w:r>
      <w:r>
        <w:t xml:space="preserve">=02_Ghid_Instalare_Operare ·</w:t>
      </w:r>
      <w:r>
        <w:t xml:space="preserve"> </w:t>
      </w:r>
      <w:r>
        <w:rPr>
          <w:rStyle w:val="VerbatimChar"/>
        </w:rPr>
        <w:t xml:space="preserve">API</w:t>
      </w:r>
      <w:r>
        <w:t xml:space="preserve">=03_Raport_Testare_API ·</w:t>
      </w:r>
      <w:r>
        <w:t xml:space="preserve"> </w:t>
      </w:r>
      <w:r>
        <w:rPr>
          <w:rStyle w:val="VerbatimChar"/>
        </w:rPr>
        <w:t xml:space="preserve">INT</w:t>
      </w:r>
      <w:r>
        <w:t xml:space="preserve">=04_Raport_Testare_Integrare ·</w:t>
      </w:r>
      <w:r>
        <w:t xml:space="preserve"> </w:t>
      </w:r>
      <w:r>
        <w:rPr>
          <w:rStyle w:val="VerbatimChar"/>
        </w:rPr>
        <w:t xml:space="preserve">GHID</w:t>
      </w:r>
      <w:r>
        <w:t xml:space="preserve">=05_Ghid_Utilizare (cu capturi) ·</w:t>
      </w:r>
      <w:r>
        <w:t xml:space="preserve"> </w:t>
      </w:r>
      <w:r>
        <w:rPr>
          <w:rStyle w:val="VerbatimChar"/>
        </w:rPr>
        <w:t xml:space="preserve">OAPI</w:t>
      </w:r>
      <w:r>
        <w:t xml:space="preserve">=openapi.yaml (Swagger) ·</w:t>
      </w:r>
      <w:r>
        <w:t xml:space="preserve"> </w:t>
      </w:r>
      <w:r>
        <w:rPr>
          <w:rStyle w:val="VerbatimChar"/>
        </w:rPr>
        <w:t xml:space="preserve">COD</w:t>
      </w:r>
      <w:r>
        <w:t xml:space="preserve">=cod sursă ·</w:t>
      </w:r>
      <w:r>
        <w:t xml:space="preserve"> </w:t>
      </w:r>
      <w:r>
        <w:rPr>
          <w:rStyle w:val="VerbatimChar"/>
        </w:rPr>
        <w:t xml:space="preserve">LIVE</w:t>
      </w:r>
      <w:r>
        <w:t xml:space="preserve">=platformă în funcțiune.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Xd2cd556b917694d31c3d80d4cbbc4f1b8113e90"/>
      <w:r>
        <w:t xml:space="preserve">2. Trasabilitate pe modulele Propunerii Tehnice Lot 2</w:t>
      </w:r>
      <w:bookmarkEnd w:id="21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Modul / cerință ofertă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Dovadă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Orchestrator</w:t>
            </w:r>
            <w:r>
              <w:t xml:space="preserve"> </w:t>
            </w:r>
            <w:r>
              <w:t xml:space="preserve">— motor de analiză, dispatch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§3.1, COD</w:t>
            </w:r>
            <w:r>
              <w:t xml:space="preserve"> </w:t>
            </w:r>
            <w:r>
              <w:rPr>
                <w:rStyle w:val="VerbatimChar"/>
              </w:rPr>
              <w:t xml:space="preserve">agent-v3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M1.2</w:t>
            </w:r>
          </w:p>
        </w:tc>
        <w:tc>
          <w:p>
            <w:pPr>
              <w:pStyle w:val="Compact"/>
              <w:jc w:val="left"/>
            </w:pPr>
            <w:r>
              <w:t xml:space="preserve">Definire și modelare pipeline-uri (workflow cu dependențe)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§6, ARH §4.3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M1.3</w:t>
            </w:r>
          </w:p>
        </w:tc>
        <w:tc>
          <w:p>
            <w:pPr>
              <w:pStyle w:val="Compact"/>
              <w:jc w:val="left"/>
            </w:pPr>
            <w:r>
              <w:t xml:space="preserve">Configurare și parametrizare (declarativ, sync Redis)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§4, LIVE Framework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M1.4</w:t>
            </w:r>
          </w:p>
        </w:tc>
        <w:tc>
          <w:p>
            <w:pPr>
              <w:pStyle w:val="Compact"/>
              <w:jc w:val="left"/>
            </w:pPr>
            <w:r>
              <w:t xml:space="preserve">Execuție sincronă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API</w:t>
            </w:r>
            <w:r>
              <w:t xml:space="preserve"> </w:t>
            </w:r>
            <w:r>
              <w:rPr>
                <w:rStyle w:val="VerbatimChar"/>
              </w:rPr>
              <w:t xml:space="preserve">/pipeline/analyze</w:t>
            </w:r>
            <w:r>
              <w:t xml:space="preserve">, INT B1/B3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M1.5</w:t>
            </w:r>
          </w:p>
        </w:tc>
        <w:tc>
          <w:p>
            <w:pPr>
              <w:pStyle w:val="Compact"/>
              <w:jc w:val="left"/>
            </w:pPr>
            <w:r>
              <w:t xml:space="preserve">Execuție asincronă (202 + poll)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API</w:t>
            </w:r>
            <w:r>
              <w:t xml:space="preserve"> </w:t>
            </w:r>
            <w:r>
              <w:rPr>
                <w:rStyle w:val="VerbatimChar"/>
              </w:rPr>
              <w:t xml:space="preserve">/pipeline/analyze-async</w:t>
            </w:r>
            <w:r>
              <w:t xml:space="preserve">, INT B1–B5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M1.6</w:t>
            </w:r>
          </w:p>
        </w:tc>
        <w:tc>
          <w:p>
            <w:pPr>
              <w:pStyle w:val="Compact"/>
              <w:jc w:val="left"/>
            </w:pPr>
            <w:r>
              <w:t xml:space="preserve">Simulare / dry-run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OAPI</w:t>
            </w:r>
            <w:r>
              <w:t xml:space="preserve"> </w:t>
            </w:r>
            <w:r>
              <w:rPr>
                <w:rStyle w:val="VerbatimChar"/>
              </w:rPr>
              <w:t xml:space="preserve">/pipeline/dry-run</w:t>
            </w:r>
            <w:r>
              <w:t xml:space="preserve">, GHID §6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M1.7</w:t>
            </w:r>
          </w:p>
        </w:tc>
        <w:tc>
          <w:p>
            <w:pPr>
              <w:pStyle w:val="Compact"/>
              <w:jc w:val="left"/>
            </w:pPr>
            <w:r>
              <w:t xml:space="preserve">Catalog resurse AI (servicii Lot 1)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INT §3.1 (9/9), GHID §5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M1.8</w:t>
            </w:r>
          </w:p>
        </w:tc>
        <w:tc>
          <w:p>
            <w:pPr>
              <w:pStyle w:val="Compact"/>
              <w:jc w:val="left"/>
            </w:pPr>
            <w:r>
              <w:t xml:space="preserve">Reluare execuții (resume/checkpoint)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dispatcher.resumeDispatch</w:t>
            </w:r>
            <w:r>
              <w:t xml:space="preserve">, ARH §6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M1.9</w:t>
            </w:r>
          </w:p>
        </w:tc>
        <w:tc>
          <w:p>
            <w:pPr>
              <w:pStyle w:val="Compact"/>
              <w:jc w:val="left"/>
            </w:pPr>
            <w:r>
              <w:t xml:space="preserve">Monitorizare și trasabilitate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§8,</w:t>
            </w:r>
            <w:r>
              <w:t xml:space="preserve"> </w:t>
            </w:r>
            <w:r>
              <w:rPr>
                <w:rStyle w:val="VerbatimChar"/>
              </w:rPr>
              <w:t xml:space="preserve">/health/all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M1.10</w:t>
            </w:r>
          </w:p>
        </w:tc>
        <w:tc>
          <w:p>
            <w:pPr>
              <w:pStyle w:val="Compact"/>
              <w:jc w:val="left"/>
            </w:pPr>
            <w:r>
              <w:t xml:space="preserve">API-uri expuse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API (87 op.), OAPI agent-v3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M1.11</w:t>
            </w:r>
          </w:p>
        </w:tc>
        <w:tc>
          <w:p>
            <w:pPr>
              <w:pStyle w:val="Compact"/>
              <w:jc w:val="left"/>
            </w:pPr>
            <w:r>
              <w:t xml:space="preserve">Securizare comunicații (JWT)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API §5, INT C3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M1.12</w:t>
            </w:r>
          </w:p>
        </w:tc>
        <w:tc>
          <w:p>
            <w:pPr>
              <w:pStyle w:val="Compact"/>
              <w:jc w:val="left"/>
            </w:pPr>
            <w:r>
              <w:t xml:space="preserve">Integrare bază de date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§8, COD</w:t>
            </w:r>
            <w:r>
              <w:t xml:space="preserve"> </w:t>
            </w:r>
            <w:r>
              <w:rPr>
                <w:rStyle w:val="VerbatimChar"/>
              </w:rPr>
              <w:t xml:space="preserve">pg-adapter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Analiză</w:t>
            </w:r>
            <w:r>
              <w:t xml:space="preserve"> </w:t>
            </w:r>
            <w:r>
              <w:t xml:space="preserve">— workeri + executori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§3.1, COD</w:t>
            </w:r>
            <w:r>
              <w:t xml:space="preserve"> </w:t>
            </w:r>
            <w:r>
              <w:rPr>
                <w:rStyle w:val="VerbatimChar"/>
              </w:rPr>
              <w:t xml:space="preserve">src/components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M2.4</w:t>
            </w:r>
          </w:p>
        </w:tc>
        <w:tc>
          <w:p>
            <w:pPr>
              <w:pStyle w:val="Compact"/>
              <w:jc w:val="left"/>
            </w:pPr>
            <w:r>
              <w:t xml:space="preserve">Executori: techniques, ai-tampered, claims, domain, RAG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§4, INT B1–B5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M2.5</w:t>
            </w:r>
          </w:p>
        </w:tc>
        <w:tc>
          <w:p>
            <w:pPr>
              <w:pStyle w:val="Compact"/>
              <w:jc w:val="left"/>
            </w:pPr>
            <w:r>
              <w:t xml:space="preserve">Integrarea cu platforma AI (Lot 1)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INT (raport dedicat)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/health/all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M2.6</w:t>
            </w:r>
          </w:p>
        </w:tc>
        <w:tc>
          <w:p>
            <w:pPr>
              <w:pStyle w:val="Compact"/>
              <w:jc w:val="left"/>
            </w:pPr>
            <w:r>
              <w:t xml:space="preserve">Agregare și verdict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§8, COD</w:t>
            </w:r>
            <w:r>
              <w:t xml:space="preserve"> </w:t>
            </w:r>
            <w:r>
              <w:rPr>
                <w:rStyle w:val="VerbatimChar"/>
              </w:rPr>
              <w:t xml:space="preserve">aggregator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M2.7</w:t>
            </w:r>
          </w:p>
        </w:tc>
        <w:tc>
          <w:p>
            <w:pPr>
              <w:pStyle w:val="Compact"/>
              <w:jc w:val="left"/>
            </w:pPr>
            <w:r>
              <w:t xml:space="preserve">Procesare media (imagine/audio/video)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INT B3/B4/B5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M2.9</w:t>
            </w:r>
          </w:p>
        </w:tc>
        <w:tc>
          <w:p>
            <w:pPr>
              <w:pStyle w:val="Compact"/>
              <w:jc w:val="left"/>
            </w:pPr>
            <w:r>
              <w:t xml:space="preserve">Reziliență și gestionarea erorilor (fail-open)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INT C1 + §4.1 (degradare vizibilă)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Broker de mesaje</w:t>
            </w:r>
            <w:r>
              <w:t xml:space="preserve"> </w:t>
            </w:r>
            <w:r>
              <w:t xml:space="preserve">(RabbitMQ)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§3.6, GHID §7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M3.2</w:t>
            </w:r>
          </w:p>
        </w:tc>
        <w:tc>
          <w:p>
            <w:pPr>
              <w:pStyle w:val="Compact"/>
              <w:jc w:val="left"/>
            </w:pPr>
            <w:r>
              <w:t xml:space="preserve">Topologie cozi (componente × priorități + DLQ)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§7, ARH §8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M3.4</w:t>
            </w:r>
          </w:p>
        </w:tc>
        <w:tc>
          <w:p>
            <w:pPr>
              <w:pStyle w:val="Compact"/>
              <w:jc w:val="left"/>
            </w:pPr>
            <w:r>
              <w:t xml:space="preserve">Mecanisme de reziliență (publisher confirms, DLQ)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§6, COD</w:t>
            </w:r>
            <w:r>
              <w:t xml:space="preserve"> </w:t>
            </w:r>
            <w:r>
              <w:rPr>
                <w:rStyle w:val="VerbatimChar"/>
              </w:rPr>
              <w:t xml:space="preserve">queue/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API Gateway</w:t>
            </w:r>
            <w:r>
              <w:t xml:space="preserve"> </w:t>
            </w:r>
            <w:r>
              <w:t xml:space="preserve">(Kong)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§3.4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M4.3</w:t>
            </w:r>
          </w:p>
        </w:tc>
        <w:tc>
          <w:p>
            <w:pPr>
              <w:pStyle w:val="Compact"/>
              <w:jc w:val="left"/>
            </w:pPr>
            <w:r>
              <w:t xml:space="preserve">Autentificare și autorizare (JWT RS256, RBAC)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API §5, INT C3, GHID §2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M4.4</w:t>
            </w:r>
          </w:p>
        </w:tc>
        <w:tc>
          <w:p>
            <w:pPr>
              <w:pStyle w:val="Compact"/>
              <w:jc w:val="left"/>
            </w:pPr>
            <w:r>
              <w:t xml:space="preserve">Rate limiting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kong.yml</w:t>
            </w:r>
            <w:r>
              <w:t xml:space="preserve">, ARH §3.4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M4.8</w:t>
            </w:r>
          </w:p>
        </w:tc>
        <w:tc>
          <w:p>
            <w:pPr>
              <w:pStyle w:val="Compact"/>
              <w:jc w:val="left"/>
            </w:pPr>
            <w:r>
              <w:t xml:space="preserve">Health checks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/health/all</w:t>
            </w:r>
            <w:r>
              <w:t xml:space="preserve">, GHID §3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M5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Baze de date SQL</w:t>
            </w:r>
            <w:r>
              <w:t xml:space="preserve"> </w:t>
            </w:r>
            <w:r>
              <w:t xml:space="preserve">(PostgreSQL)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M5.3</w:t>
            </w:r>
          </w:p>
        </w:tc>
        <w:tc>
          <w:p>
            <w:pPr>
              <w:pStyle w:val="Compact"/>
              <w:jc w:val="left"/>
            </w:pPr>
            <w:r>
              <w:t xml:space="preserve">Organizare pe scheme (analiză/config/useri/date personale)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§8, GHID §10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M5.5</w:t>
            </w:r>
          </w:p>
        </w:tc>
        <w:tc>
          <w:p>
            <w:pPr>
              <w:pStyle w:val="Compact"/>
              <w:jc w:val="left"/>
            </w:pPr>
            <w:r>
              <w:t xml:space="preserve">Sincronizare cu cache (Redis)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§4, COD</w:t>
            </w:r>
            <w:r>
              <w:t xml:space="preserve"> </w:t>
            </w:r>
            <w:r>
              <w:rPr>
                <w:rStyle w:val="VerbatimChar"/>
              </w:rPr>
              <w:t xml:space="preserve">sync-redis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M5.8</w:t>
            </w:r>
          </w:p>
        </w:tc>
        <w:tc>
          <w:p>
            <w:pPr>
              <w:pStyle w:val="Compact"/>
              <w:jc w:val="left"/>
            </w:pPr>
            <w:r>
              <w:t xml:space="preserve">Securizare și disponibilitate (HA Patroni/HAProxy)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ARH §6, COD</w:t>
            </w:r>
            <w:r>
              <w:t xml:space="preserve"> </w:t>
            </w:r>
            <w:r>
              <w:rPr>
                <w:rStyle w:val="VerbatimChar"/>
              </w:rPr>
              <w:t xml:space="preserve">ha-cluster/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M6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Dashboard</w:t>
            </w:r>
            <w:r>
              <w:t xml:space="preserve"> </w:t>
            </w:r>
            <w:r>
              <w:t xml:space="preserve">(React)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GHID (întreg)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M6.3</w:t>
            </w:r>
          </w:p>
        </w:tc>
        <w:tc>
          <w:p>
            <w:pPr>
              <w:pStyle w:val="Compact"/>
              <w:jc w:val="left"/>
            </w:pPr>
            <w:r>
              <w:t xml:space="preserve">CRUD pipeline-uri (workflow builder)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M6.4</w:t>
            </w:r>
          </w:p>
        </w:tc>
        <w:tc>
          <w:p>
            <w:pPr>
              <w:pStyle w:val="Compact"/>
              <w:jc w:val="left"/>
            </w:pPr>
            <w:r>
              <w:t xml:space="preserve">Rulare pipeline și debug (run console)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§6, §7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M6.5</w:t>
            </w:r>
          </w:p>
        </w:tc>
        <w:tc>
          <w:p>
            <w:pPr>
              <w:pStyle w:val="Compact"/>
              <w:jc w:val="left"/>
            </w:pPr>
            <w:r>
              <w:t xml:space="preserve">CRUD catalog (modele, funcții, extractoare)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§4, §5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M6.6</w:t>
            </w:r>
          </w:p>
        </w:tc>
        <w:tc>
          <w:p>
            <w:pPr>
              <w:pStyle w:val="Compact"/>
              <w:jc w:val="left"/>
            </w:pPr>
            <w:r>
              <w:t xml:space="preserve">Management utilizatori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§10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M6.7</w:t>
            </w:r>
          </w:p>
        </w:tc>
        <w:tc>
          <w:p>
            <w:pPr>
              <w:pStyle w:val="Compact"/>
              <w:jc w:val="left"/>
            </w:pPr>
            <w:r>
              <w:t xml:space="preserve">Istoric analize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M6.8</w:t>
            </w:r>
          </w:p>
        </w:tc>
        <w:tc>
          <w:p>
            <w:pPr>
              <w:pStyle w:val="Compact"/>
              <w:jc w:val="left"/>
            </w:pPr>
            <w:r>
              <w:t xml:space="preserve">Monitorizare servicii (health dashboard)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§3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M7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Autentificare</w:t>
            </w:r>
            <w:r>
              <w:t xml:space="preserve"> </w:t>
            </w:r>
            <w:r>
              <w:t xml:space="preserve">(Keycloak OIDC)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§2, ARH §3.5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Observabilitate &amp; Logging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GHID §3, ARH §2, INST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M9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Containerizare, CI/CD, Orchestrare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INST,</w:t>
            </w:r>
            <w:r>
              <w:t xml:space="preserve"> </w:t>
            </w:r>
            <w:r>
              <w:rPr>
                <w:rStyle w:val="VerbatimChar"/>
              </w:rPr>
              <w:t xml:space="preserve">build-local.sh</w:t>
            </w:r>
            <w:r>
              <w:t xml:space="preserve">, ARH §7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2" w:name="X6a37ca36d12c95d2462fac4f1626a1de33312a3"/>
      <w:r>
        <w:t xml:space="preserve">3. Trasabilitate pe cerințele funcționale ale caietului de sarcini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Cerință caiet (backend)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Livrabil / dovadă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Consumul extractoarelor specializate (deepfake, NER, OCR, Whisper, YOLO)</w:t>
            </w:r>
          </w:p>
        </w:tc>
        <w:tc>
          <w:p>
            <w:pPr>
              <w:pStyle w:val="Compact"/>
              <w:jc w:val="left"/>
            </w:pPr>
            <w:r>
              <w:t xml:space="preserve">INT §3.1–3.2 (A3–A6, B3–B5), GHID §4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Modul web-crawl / evidence integrat cu backend</w:t>
            </w:r>
          </w:p>
        </w:tc>
        <w:tc>
          <w:p>
            <w:pPr>
              <w:pStyle w:val="Compact"/>
              <w:jc w:val="left"/>
            </w:pPr>
            <w:r>
              <w:t xml:space="preserve">INT A7/B2, GHID §4.3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Scor de credibilitate a sursei (WHOIS/SSL/blacklist/DNS — T4)</w:t>
            </w:r>
          </w:p>
        </w:tc>
        <w:tc>
          <w:p>
            <w:pPr>
              <w:pStyle w:val="Compact"/>
              <w:jc w:val="left"/>
            </w:pPr>
            <w:r>
              <w:t xml:space="preserve">INT A9/B2, GHID §4.4–4.5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Orchestrarea fluxurilor ML end-to-end</w:t>
            </w:r>
          </w:p>
        </w:tc>
        <w:tc>
          <w:p>
            <w:pPr>
              <w:pStyle w:val="Compact"/>
              <w:jc w:val="left"/>
            </w:pPr>
            <w:r>
              <w:t xml:space="preserve">INT B1–B5, GHID §6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Integrarea cu API Gateway + politici de securitate</w:t>
            </w:r>
          </w:p>
        </w:tc>
        <w:tc>
          <w:p>
            <w:pPr>
              <w:pStyle w:val="Compact"/>
              <w:jc w:val="left"/>
            </w:pPr>
            <w:r>
              <w:t xml:space="preserve">API §5, INT C3, GHID §2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Autentificare, autorizare, RBAC</w:t>
            </w:r>
          </w:p>
        </w:tc>
        <w:tc>
          <w:p>
            <w:pPr>
              <w:pStyle w:val="Compact"/>
              <w:jc w:val="left"/>
            </w:pPr>
            <w:r>
              <w:t xml:space="preserve">API §5, GHID §2, §10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Containerizare, CI/CD, orchestrare</w:t>
            </w:r>
          </w:p>
        </w:tc>
        <w:tc>
          <w:p>
            <w:pPr>
              <w:pStyle w:val="Compact"/>
              <w:jc w:val="left"/>
            </w:pPr>
            <w:r>
              <w:t xml:space="preserve">INST,</w:t>
            </w:r>
            <w:r>
              <w:t xml:space="preserve"> </w:t>
            </w:r>
            <w:r>
              <w:rPr>
                <w:rStyle w:val="VerbatimChar"/>
              </w:rPr>
              <w:t xml:space="preserve">build-local.sh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OpenAPI/Swagger + set minim de teste API (criteriu 6)</w:t>
            </w:r>
          </w:p>
        </w:tc>
        <w:tc>
          <w:p>
            <w:pPr>
              <w:pStyle w:val="Compact"/>
              <w:jc w:val="left"/>
            </w:pPr>
            <w:r>
              <w:t xml:space="preserve">API, OAPI (2 servicii, 374 op.)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Cod sursă livrat integral, documentat</w:t>
            </w:r>
          </w:p>
        </w:tc>
        <w:tc>
          <w:p>
            <w:pPr>
              <w:pStyle w:val="Compact"/>
              <w:jc w:val="left"/>
            </w:pPr>
            <w:r>
              <w:t xml:space="preserve">Arhiva Lot 2 + docs 01–06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3" w:name="sinteză-stare-livrare"/>
      <w:r>
        <w:t xml:space="preserve">4. Sinteză stare livrare</w:t>
      </w:r>
      <w:bookmarkEnd w:id="23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Categorie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Rezultat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Module ofertă acoperite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9/9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Endpoint-uri API cablate (Lot 2)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374/374</w:t>
            </w:r>
            <w:r>
              <w:t xml:space="preserve"> </w:t>
            </w:r>
            <w:r>
              <w:t xml:space="preserve">(API)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Integrări Lot 1 verificate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9/9</w:t>
            </w:r>
            <w:r>
              <w:t xml:space="preserve"> </w:t>
            </w:r>
            <w:r>
              <w:t xml:space="preserve">(INT)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Teste de integrare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16 PASS / 1 DEGRADED (fail-open) / 0 FAIL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Defecte identificate în testare</w:t>
            </w:r>
          </w:p>
        </w:tc>
        <w:tc>
          <w:p>
            <w:pPr>
              <w:pStyle w:val="Compact"/>
              <w:jc w:val="left"/>
            </w:pPr>
            <w:r>
              <w:t xml:space="preserve">1, remediat + întărit (INT §4)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Documente de livrare</w:t>
            </w:r>
          </w:p>
        </w:tc>
        <w:tc>
          <w:p>
            <w:pPr>
              <w:pStyle w:val="Compact"/>
              <w:jc w:val="left"/>
            </w:pPr>
            <w:r>
              <w:t xml:space="preserve">01–06 + OpenAPI + rapoarte de test</w:t>
            </w:r>
          </w:p>
        </w:tc>
      </w:tr>
    </w:tbl>
    <w:p>
      <w:pPr>
        <w:pStyle w:val="BodyText"/>
      </w:pPr>
      <w:r>
        <w:t xml:space="preserve">Toate modulele din Propunerea Tehnică Lot 2 sunt</w:t>
      </w:r>
      <w:r>
        <w:t xml:space="preserve"> </w:t>
      </w:r>
      <w:r>
        <w:rPr>
          <w:b/>
        </w:rPr>
        <w:t xml:space="preserve">implementate, livrate și verificabile</w:t>
      </w:r>
      <w:r>
        <w:t xml:space="preserve"> </w:t>
      </w:r>
      <w:r>
        <w:t xml:space="preserve">pe</w:t>
      </w:r>
      <w:r>
        <w:t xml:space="preserve"> </w:t>
      </w:r>
      <w:r>
        <w:t xml:space="preserve">platforma în funcțiune, cu dovezi trasabile în documentele indicate.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Matrice de trasabilitate a cerințelor — DiDi Lot 2 (Backend)</dc:title>
  <dc:creator>PNRR DIGI150 · contract 11.1.i3.c9</dc:creator>
  <cp:keywords/>
  <dcterms:created xsi:type="dcterms:W3CDTF">2026-07-09T21:00:53Z</dcterms:created>
  <dcterms:modified xsi:type="dcterms:W3CDTF">2026-07-09T21:00:53Z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