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Dosar</w:t>
      </w:r>
      <w:r>
        <w:t xml:space="preserve"> </w:t>
      </w:r>
      <w:r>
        <w:t xml:space="preserve">de</w:t>
      </w:r>
      <w:r>
        <w:t xml:space="preserve"> </w:t>
      </w:r>
      <w:r>
        <w:t xml:space="preserve">livrare</w:t>
      </w:r>
      <w:r>
        <w:t xml:space="preserve"> </w:t>
      </w:r>
      <w:r>
        <w:t xml:space="preserve">—</w:t>
      </w:r>
      <w:r>
        <w:t xml:space="preserve"> </w:t>
      </w:r>
      <w:r>
        <w:t xml:space="preserve">DiDi</w:t>
      </w:r>
      <w:r>
        <w:t xml:space="preserve"> </w:t>
      </w:r>
      <w:r>
        <w:t xml:space="preserve">Lot</w:t>
      </w:r>
      <w:r>
        <w:t xml:space="preserve"> </w:t>
      </w:r>
      <w:r>
        <w:t xml:space="preserve">2</w:t>
      </w:r>
      <w:r>
        <w:t xml:space="preserve"> </w:t>
      </w:r>
      <w:r>
        <w:t xml:space="preserve">(Backend)</w:t>
      </w:r>
    </w:p>
    <w:p>
      <w:pPr>
        <w:pStyle w:val="Author"/>
      </w:pPr>
      <w:r>
        <w:t xml:space="preserve">Platformă</w:t>
      </w:r>
      <w:r>
        <w:t xml:space="preserve"> </w:t>
      </w:r>
      <w:r>
        <w:t xml:space="preserve">digitală</w:t>
      </w:r>
      <w:r>
        <w:t xml:space="preserve"> </w:t>
      </w:r>
      <w:r>
        <w:t xml:space="preserve">inteligentă</w:t>
      </w:r>
      <w:r>
        <w:t xml:space="preserve"> </w:t>
      </w:r>
      <w:r>
        <w:t xml:space="preserve">pentru</w:t>
      </w:r>
      <w:r>
        <w:t xml:space="preserve"> </w:t>
      </w:r>
      <w:r>
        <w:t xml:space="preserve">prevenirea</w:t>
      </w:r>
      <w:r>
        <w:t xml:space="preserve"> </w:t>
      </w:r>
      <w:r>
        <w:t xml:space="preserve">și</w:t>
      </w:r>
      <w:r>
        <w:t xml:space="preserve"> </w:t>
      </w:r>
      <w:r>
        <w:t xml:space="preserve">combaterea</w:t>
      </w:r>
      <w:r>
        <w:t xml:space="preserve"> </w:t>
      </w:r>
      <w:r>
        <w:t xml:space="preserve">dezinformării</w:t>
      </w:r>
    </w:p>
    <w:p>
      <w:pPr>
        <w:pStyle w:val="Date"/>
      </w:pPr>
      <w:r>
        <w:t xml:space="preserve">PNRR</w:t>
      </w:r>
      <w:r>
        <w:t xml:space="preserve"> </w:t>
      </w:r>
      <w:r>
        <w:t xml:space="preserve">DIGI150</w:t>
      </w:r>
      <w:r>
        <w:t xml:space="preserve"> </w:t>
      </w:r>
      <w:r>
        <w:t xml:space="preserve">·</w:t>
      </w:r>
      <w:r>
        <w:t xml:space="preserve"> </w:t>
      </w:r>
      <w:r>
        <w:t xml:space="preserve">contract</w:t>
      </w:r>
      <w:r>
        <w:t xml:space="preserve"> </w:t>
      </w:r>
      <w:r>
        <w:t xml:space="preserve">11.1.i3.c9</w:t>
      </w:r>
    </w:p>
    <w:p>
      <w:r>
        <w:pict>
          <v:rect style="width:0;height:1.5pt" o:hralign="center" o:hrstd="t" o:hr="t"/>
        </w:pict>
      </w:r>
    </w:p>
    <w:p>
      <w:pPr>
        <w:pStyle w:val="Heading1"/>
      </w:pPr>
      <w:bookmarkStart w:id="20" w:name="cuprinsul-dosarului-de-livrare"/>
      <w:r>
        <w:t xml:space="preserve">Cuprinsul dosarului de livrare</w:t>
      </w:r>
      <w:bookmarkEnd w:id="20"/>
    </w:p>
    <w:p>
      <w:pPr>
        <w:pStyle w:val="FirstParagraph"/>
      </w:pPr>
      <w:r>
        <w:t xml:space="preserve">Prezentul dosar documentează livrarea</w:t>
      </w:r>
      <w:r>
        <w:t xml:space="preserve"> </w:t>
      </w:r>
      <w:r>
        <w:rPr>
          <w:b/>
        </w:rPr>
        <w:t xml:space="preserve">Lotului 2 — Aplicație software backend</w:t>
      </w:r>
      <w:r>
        <w:t xml:space="preserve"> </w:t>
      </w:r>
      <w:r>
        <w:t xml:space="preserve">a platformei</w:t>
      </w:r>
      <w:r>
        <w:t xml:space="preserve"> </w:t>
      </w:r>
      <w:r>
        <w:t xml:space="preserve">DiDi. Documentele sunt corelate cu</w:t>
      </w:r>
      <w:r>
        <w:t xml:space="preserve"> </w:t>
      </w:r>
      <w:r>
        <w:rPr>
          <w:b/>
        </w:rPr>
        <w:t xml:space="preserve">Propunerea Tehnică Lot 2</w:t>
      </w:r>
      <w:r>
        <w:t xml:space="preserve"> </w:t>
      </w:r>
      <w:r>
        <w:t xml:space="preserve">(9 module) și cu caietul de</w:t>
      </w:r>
      <w:r>
        <w:t xml:space="preserve"> </w:t>
      </w:r>
      <w:r>
        <w:t xml:space="preserve">sarcini.</w:t>
      </w:r>
    </w:p>
    <w:tbl>
      <w:tblPr>
        <w:tblStyle w:val="Table"/>
        <w:tblW w:type="pct" w:w="5000.0"/>
        <w:tblLook w:firstRow="1"/>
      </w:tblPr>
      <w:tblGrid>
        <w:gridCol w:w="2640"/>
        <w:gridCol w:w="2640"/>
        <w:gridCol w:w="2640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#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Document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Conținut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00</w:t>
            </w:r>
          </w:p>
        </w:tc>
        <w:tc>
          <w:p>
            <w:pPr>
              <w:pStyle w:val="Compact"/>
              <w:jc w:val="left"/>
            </w:pPr>
            <w:r>
              <w:rPr>
                <w:b/>
              </w:rPr>
              <w:t xml:space="preserve">INDEX Dosar Livrare</w:t>
            </w:r>
            <w:r>
              <w:t xml:space="preserve"> </w:t>
            </w:r>
            <w:r>
              <w:t xml:space="preserve">(acest fișier)</w:t>
            </w:r>
          </w:p>
        </w:tc>
        <w:tc>
          <w:p>
            <w:pPr>
              <w:pStyle w:val="Compact"/>
              <w:jc w:val="left"/>
            </w:pPr>
            <w:r>
              <w:t xml:space="preserve">Cuprins + stare livrare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01</w:t>
            </w:r>
          </w:p>
        </w:tc>
        <w:tc>
          <w:p>
            <w:pPr>
              <w:pStyle w:val="Compact"/>
              <w:jc w:val="left"/>
            </w:pPr>
            <w:r>
              <w:rPr>
                <w:b/>
              </w:rPr>
              <w:t xml:space="preserve">Arhitectură Lot 2</w:t>
            </w:r>
          </w:p>
        </w:tc>
        <w:tc>
          <w:p>
            <w:pPr>
              <w:pStyle w:val="Compact"/>
              <w:jc w:val="left"/>
            </w:pPr>
            <w:r>
              <w:t xml:space="preserve">Arhitectura pe 3 straturi, fluxuri, model de date, integrarea cu Lot 1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02</w:t>
            </w:r>
          </w:p>
        </w:tc>
        <w:tc>
          <w:p>
            <w:pPr>
              <w:pStyle w:val="Compact"/>
              <w:jc w:val="left"/>
            </w:pPr>
            <w:r>
              <w:rPr>
                <w:b/>
              </w:rPr>
              <w:t xml:space="preserve">Ghid Instalare &amp; Operare</w:t>
            </w:r>
          </w:p>
        </w:tc>
        <w:tc>
          <w:p>
            <w:pPr>
              <w:pStyle w:val="Compact"/>
              <w:jc w:val="left"/>
            </w:pPr>
            <w:r>
              <w:t xml:space="preserve">Instalare de la zero (</w:t>
            </w:r>
            <w:r>
              <w:rPr>
                <w:rStyle w:val="VerbatimChar"/>
              </w:rPr>
              <w:t xml:space="preserve">build-local.sh</w:t>
            </w:r>
            <w:r>
              <w:t xml:space="preserve">), operare, comenzi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03</w:t>
            </w:r>
          </w:p>
        </w:tc>
        <w:tc>
          <w:p>
            <w:pPr>
              <w:pStyle w:val="Compact"/>
              <w:jc w:val="left"/>
            </w:pPr>
            <w:r>
              <w:rPr>
                <w:b/>
              </w:rPr>
              <w:t xml:space="preserve">Raport Testare API</w:t>
            </w:r>
          </w:p>
        </w:tc>
        <w:tc>
          <w:p>
            <w:pPr>
              <w:pStyle w:val="Compact"/>
              <w:jc w:val="left"/>
            </w:pPr>
            <w:r>
              <w:t xml:space="preserve">374/374 endpoint-uri cablate, securitate, OpenAPI validat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04</w:t>
            </w:r>
          </w:p>
        </w:tc>
        <w:tc>
          <w:p>
            <w:pPr>
              <w:pStyle w:val="Compact"/>
              <w:jc w:val="left"/>
            </w:pPr>
            <w:r>
              <w:rPr>
                <w:b/>
              </w:rPr>
              <w:t xml:space="preserve">Raport Testare Integrare Lot1↔Lot2</w:t>
            </w:r>
          </w:p>
        </w:tc>
        <w:tc>
          <w:p>
            <w:pPr>
              <w:pStyle w:val="Compact"/>
              <w:jc w:val="left"/>
            </w:pPr>
            <w:r>
              <w:t xml:space="preserve">9/9 servicii AI, 5/5 analize E2E, fail-open, 1 defect remediat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05</w:t>
            </w:r>
          </w:p>
        </w:tc>
        <w:tc>
          <w:p>
            <w:pPr>
              <w:pStyle w:val="Compact"/>
              <w:jc w:val="left"/>
            </w:pPr>
            <w:r>
              <w:rPr>
                <w:b/>
              </w:rPr>
              <w:t xml:space="preserve">Ghid de Utilizare</w:t>
            </w:r>
          </w:p>
        </w:tc>
        <w:tc>
          <w:p>
            <w:pPr>
              <w:pStyle w:val="Compact"/>
              <w:jc w:val="left"/>
            </w:pPr>
            <w:r>
              <w:t xml:space="preserve">Tur al platformei cu capturi reale, mapat pe module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06</w:t>
            </w:r>
          </w:p>
        </w:tc>
        <w:tc>
          <w:p>
            <w:pPr>
              <w:pStyle w:val="Compact"/>
              <w:jc w:val="left"/>
            </w:pPr>
            <w:r>
              <w:rPr>
                <w:b/>
              </w:rPr>
              <w:t xml:space="preserve">Matrice Trasabilitate Cerințe</w:t>
            </w:r>
          </w:p>
        </w:tc>
        <w:tc>
          <w:p>
            <w:pPr>
              <w:pStyle w:val="Compact"/>
              <w:jc w:val="left"/>
            </w:pPr>
            <w:r>
              <w:t xml:space="preserve">Cerințe caiet + ofertă → livrabil/dovadă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07</w:t>
            </w:r>
          </w:p>
        </w:tc>
        <w:tc>
          <w:p>
            <w:pPr>
              <w:pStyle w:val="Compact"/>
              <w:jc w:val="left"/>
            </w:pPr>
            <w:r>
              <w:rPr>
                <w:b/>
              </w:rPr>
              <w:t xml:space="preserve">Specificații API</w:t>
            </w:r>
          </w:p>
        </w:tc>
        <w:tc>
          <w:p>
            <w:pPr>
              <w:pStyle w:val="Compact"/>
              <w:jc w:val="left"/>
            </w:pPr>
            <w:r>
              <w:t xml:space="preserve">Structura celor 2 API-uri (374 op.), Swagger,</w:t>
            </w:r>
            <w:r>
              <w:t xml:space="preserve"> </w:t>
            </w:r>
            <w:r>
              <w:rPr>
                <w:rStyle w:val="VerbatimChar"/>
              </w:rPr>
              <w:t xml:space="preserve">x-integrations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p>
            <w:pPr>
              <w:pStyle w:val="Compact"/>
              <w:jc w:val="left"/>
            </w:pPr>
            <w:r>
              <w:rPr>
                <w:b/>
              </w:rPr>
              <w:t xml:space="preserve">openapi.yaml</w:t>
            </w:r>
            <w:r>
              <w:t xml:space="preserve"> </w:t>
            </w:r>
            <w:r>
              <w:t xml:space="preserve">(×2)</w:t>
            </w:r>
          </w:p>
        </w:tc>
        <w:tc>
          <w:p>
            <w:pPr>
              <w:pStyle w:val="Compact"/>
              <w:jc w:val="left"/>
            </w:pPr>
            <w:r>
              <w:t xml:space="preserve">Specificațiile OpenAPI 3.0.3 mașinabile (agent-v3 + framework)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p>
            <w:pPr>
              <w:pStyle w:val="Compact"/>
              <w:jc w:val="left"/>
            </w:pPr>
            <w:r>
              <w:rPr>
                <w:b/>
              </w:rPr>
              <w:t xml:space="preserve">scripts/integration/</w:t>
            </w:r>
          </w:p>
        </w:tc>
        <w:tc>
          <w:p>
            <w:pPr>
              <w:pStyle w:val="Compact"/>
              <w:jc w:val="left"/>
            </w:pPr>
            <w:r>
              <w:t xml:space="preserve">Harness reproductibil de testare a integrării + dovezi</w:t>
            </w:r>
          </w:p>
        </w:tc>
      </w:tr>
    </w:tbl>
    <w:p>
      <w:r>
        <w:pict>
          <v:rect style="width:0;height:1.5pt" o:hralign="center" o:hrstd="t" o:hr="t"/>
        </w:pict>
      </w:r>
    </w:p>
    <w:p>
      <w:pPr>
        <w:pStyle w:val="Heading1"/>
      </w:pPr>
      <w:bookmarkStart w:id="21" w:name="stare-livrare-sinteză"/>
      <w:r>
        <w:t xml:space="preserve">Stare livrare (sinteză)</w:t>
      </w:r>
      <w:bookmarkEnd w:id="21"/>
    </w:p>
    <w:tbl>
      <w:tblPr>
        <w:tblStyle w:val="Table"/>
        <w:tblW w:type="pct" w:w="5000.0"/>
        <w:tblLook w:firstRow="1"/>
      </w:tblPr>
      <w:tblGrid>
        <w:gridCol w:w="3960"/>
        <w:gridCol w:w="3960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Indicator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Valoare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Module ofertă acoperite</w:t>
            </w:r>
          </w:p>
        </w:tc>
        <w:tc>
          <w:p>
            <w:pPr>
              <w:pStyle w:val="Compact"/>
              <w:jc w:val="left"/>
            </w:pPr>
            <w:r>
              <w:rPr>
                <w:b/>
              </w:rPr>
              <w:t xml:space="preserve">9 / 9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Endpoint-uri API cablate</w:t>
            </w:r>
          </w:p>
        </w:tc>
        <w:tc>
          <w:p>
            <w:pPr>
              <w:pStyle w:val="Compact"/>
              <w:jc w:val="left"/>
            </w:pPr>
            <w:r>
              <w:rPr>
                <w:b/>
              </w:rPr>
              <w:t xml:space="preserve">374 / 374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Integrări cu Lotul 1 verificate</w:t>
            </w:r>
          </w:p>
        </w:tc>
        <w:tc>
          <w:p>
            <w:pPr>
              <w:pStyle w:val="Compact"/>
              <w:jc w:val="left"/>
            </w:pPr>
            <w:r>
              <w:rPr>
                <w:b/>
              </w:rPr>
              <w:t xml:space="preserve">9 / 9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Analize end-to-end (tipuri de conținut)</w:t>
            </w:r>
          </w:p>
        </w:tc>
        <w:tc>
          <w:p>
            <w:pPr>
              <w:pStyle w:val="Compact"/>
              <w:jc w:val="left"/>
            </w:pPr>
            <w:r>
              <w:rPr>
                <w:b/>
              </w:rPr>
              <w:t xml:space="preserve">5 / 5</w:t>
            </w:r>
            <w:r>
              <w:t xml:space="preserve"> </w:t>
            </w:r>
            <w:r>
              <w:t xml:space="preserve">(text, URL, imagine, audio, video)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Teste de integrare</w:t>
            </w:r>
          </w:p>
        </w:tc>
        <w:tc>
          <w:p>
            <w:pPr>
              <w:pStyle w:val="Compact"/>
              <w:jc w:val="left"/>
            </w:pPr>
            <w:r>
              <w:rPr>
                <w:b/>
              </w:rPr>
              <w:t xml:space="preserve">16 PASS · 1 DEGRADED (fail-open, corect) · 0 FAIL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Defecte găsite în testare</w:t>
            </w:r>
          </w:p>
        </w:tc>
        <w:tc>
          <w:p>
            <w:pPr>
              <w:pStyle w:val="Compact"/>
              <w:jc w:val="left"/>
            </w:pPr>
            <w:r>
              <w:t xml:space="preserve">1 — remediat și întărit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Servicii live (moment recepție)</w:t>
            </w:r>
          </w:p>
        </w:tc>
        <w:tc>
          <w:p>
            <w:pPr>
              <w:pStyle w:val="Compact"/>
              <w:jc w:val="left"/>
            </w:pPr>
            <w:r>
              <w:t xml:space="preserve">toate</w:t>
            </w:r>
            <w:r>
              <w:t xml:space="preserve"> </w:t>
            </w:r>
            <w:r>
              <w:rPr>
                <w:rStyle w:val="VerbatimChar"/>
              </w:rPr>
              <w:t xml:space="preserve">healthy</w:t>
            </w:r>
          </w:p>
        </w:tc>
      </w:tr>
    </w:tbl>
    <w:p>
      <w:r>
        <w:pict>
          <v:rect style="width:0;height:1.5pt" o:hralign="center" o:hrstd="t" o:hr="t"/>
        </w:pict>
      </w:r>
    </w:p>
    <w:p>
      <w:pPr>
        <w:pStyle w:val="Heading1"/>
      </w:pPr>
      <w:bookmarkStart w:id="22" w:name="acces-platformă-mediu-de-recepție"/>
      <w:r>
        <w:t xml:space="preserve">Acces platformă (mediu de recepție)</w:t>
      </w:r>
      <w:bookmarkEnd w:id="22"/>
    </w:p>
    <w:tbl>
      <w:tblPr>
        <w:tblStyle w:val="Table"/>
        <w:tblW w:type="pct" w:w="5000.0"/>
        <w:tblLook w:firstRow="1"/>
      </w:tblPr>
      <w:tblGrid>
        <w:gridCol w:w="2640"/>
        <w:gridCol w:w="2640"/>
        <w:gridCol w:w="2640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Resursă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Adresă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Acces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Dashboard administrativ</w:t>
            </w:r>
          </w:p>
        </w:tc>
        <w:tc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https://&lt;HOST_IP&gt;:3001/admin</w:t>
            </w:r>
          </w:p>
        </w:tc>
        <w:tc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admin</w:t>
            </w:r>
            <w:r>
              <w:t xml:space="preserve"> </w:t>
            </w:r>
            <w:r>
              <w:t xml:space="preserve">/</w:t>
            </w:r>
            <w:r>
              <w:t xml:space="preserve"> </w:t>
            </w:r>
            <w:r>
              <w:rPr>
                <w:rStyle w:val="VerbatimChar"/>
              </w:rPr>
              <w:t xml:space="preserve">Admin12345</w:t>
            </w:r>
            <w:r>
              <w:t xml:space="preserve"> </w:t>
            </w:r>
            <w:r>
              <w:t xml:space="preserve">(realm</w:t>
            </w:r>
            <w:r>
              <w:t xml:space="preserve"> </w:t>
            </w:r>
            <w:r>
              <w:rPr>
                <w:rStyle w:val="VerbatimChar"/>
              </w:rPr>
              <w:t xml:space="preserve">didi-admins</w:t>
            </w:r>
            <w:r>
              <w:t xml:space="preserve">)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API Agent V3</w:t>
            </w:r>
          </w:p>
        </w:tc>
        <w:tc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:24803</w:t>
            </w:r>
            <w:r>
              <w:t xml:space="preserve"> </w:t>
            </w:r>
            <w:r>
              <w:t xml:space="preserve">(prin Kong</w:t>
            </w:r>
            <w:r>
              <w:t xml:space="preserve"> </w:t>
            </w:r>
            <w:r>
              <w:rPr>
                <w:rStyle w:val="VerbatimChar"/>
              </w:rPr>
              <w:t xml:space="preserve">/agent-v3/*</w:t>
            </w:r>
            <w:r>
              <w:t xml:space="preserve">)</w:t>
            </w:r>
          </w:p>
        </w:tc>
        <w:tc>
          <w:p>
            <w:pPr>
              <w:pStyle w:val="Compact"/>
              <w:jc w:val="left"/>
            </w:pPr>
            <w:r>
              <w:t xml:space="preserve">JWT Bearer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API didiFramework</w:t>
            </w:r>
          </w:p>
        </w:tc>
        <w:tc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:3005</w:t>
            </w:r>
            <w:r>
              <w:t xml:space="preserve"> </w:t>
            </w:r>
            <w:r>
              <w:t xml:space="preserve">(prin Kong</w:t>
            </w:r>
            <w:r>
              <w:t xml:space="preserve"> </w:t>
            </w:r>
            <w:r>
              <w:rPr>
                <w:rStyle w:val="VerbatimChar"/>
              </w:rPr>
              <w:t xml:space="preserve">/framework/*</w:t>
            </w:r>
            <w:r>
              <w:t xml:space="preserve">)</w:t>
            </w:r>
          </w:p>
        </w:tc>
        <w:tc>
          <w:p>
            <w:pPr>
              <w:pStyle w:val="Compact"/>
              <w:jc w:val="left"/>
            </w:pPr>
            <w:r>
              <w:t xml:space="preserve">JWT Bearer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Health integrare</w:t>
            </w:r>
          </w:p>
        </w:tc>
        <w:tc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GET /api/v3/health/all</w:t>
            </w:r>
          </w:p>
        </w:tc>
        <w:tc>
          <w:p>
            <w:pPr>
              <w:pStyle w:val="Compact"/>
              <w:jc w:val="left"/>
            </w:pPr>
            <w:r>
              <w:t xml:space="preserve">infra + 9 servicii Lot 1</w:t>
            </w:r>
          </w:p>
        </w:tc>
      </w:tr>
    </w:tbl>
    <w:p>
      <w:pPr>
        <w:pStyle w:val="BodyText"/>
      </w:pPr>
      <w:r>
        <w:t xml:space="preserve">Toate documentele sunt livrate în format Markdown (sursă) și</w:t>
      </w:r>
      <w:r>
        <w:t xml:space="preserve"> </w:t>
      </w:r>
      <w:r>
        <w:rPr>
          <w:rStyle w:val="VerbatimChar"/>
        </w:rPr>
        <w:t xml:space="preserve">.docx</w:t>
      </w:r>
      <w:r>
        <w:t xml:space="preserve"> </w:t>
      </w:r>
      <w:r>
        <w:t xml:space="preserve">(pentru dosar).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i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 w:left="480" w:right="480"/>
    </w:p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Dosar de livrare — DiDi Lot 2 (Backend)</dc:title>
  <dc:creator>Platformă digitală inteligentă pentru prevenirea și combaterea dezinformării</dc:creator>
  <cp:keywords/>
  <dcterms:created xsi:type="dcterms:W3CDTF">2026-07-09T21:30:37Z</dcterms:created>
  <dcterms:modified xsi:type="dcterms:W3CDTF">2026-07-09T21:30:37Z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e">
    <vt:lpwstr>PNRR DIGI150 · contract 11.1.i3.c9</vt:lpwstr>
  </property>
</Properties>
</file>