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ECB1E" w14:textId="77777777" w:rsidR="00FF4357" w:rsidRDefault="00000000">
      <w:pPr>
        <w:spacing w:after="0"/>
        <w:jc w:val="center"/>
      </w:pPr>
      <w:r>
        <w:rPr>
          <w:b/>
          <w:color w:val="1F3A5F"/>
          <w:sz w:val="20"/>
        </w:rPr>
        <w:t>PROGRAMUL NAȚIONAL DE REDRESARE ȘI REZILIENȚĂ (PNRR)</w:t>
      </w:r>
    </w:p>
    <w:p w14:paraId="19C2F99E" w14:textId="77777777" w:rsidR="00FF4357" w:rsidRDefault="00000000">
      <w:pPr>
        <w:spacing w:after="0"/>
        <w:jc w:val="center"/>
      </w:pPr>
      <w:r>
        <w:rPr>
          <w:color w:val="555555"/>
          <w:sz w:val="20"/>
        </w:rPr>
        <w:t>Pilonul III — Creștere inteligentă, sustenabilă și favorabilă incluziunii</w:t>
      </w:r>
    </w:p>
    <w:p w14:paraId="67EEF352" w14:textId="77777777" w:rsidR="00FF4357" w:rsidRDefault="00000000">
      <w:pPr>
        <w:spacing w:after="280"/>
        <w:jc w:val="center"/>
      </w:pPr>
      <w:r>
        <w:rPr>
          <w:color w:val="555555"/>
          <w:sz w:val="20"/>
        </w:rPr>
        <w:t>Beneficiar: TOP CLOSSERS SRL</w:t>
      </w:r>
    </w:p>
    <w:p w14:paraId="54F97139" w14:textId="77777777" w:rsidR="00FF4357" w:rsidRDefault="00000000">
      <w:pPr>
        <w:spacing w:after="40"/>
        <w:jc w:val="center"/>
      </w:pPr>
      <w:r>
        <w:rPr>
          <w:b/>
          <w:color w:val="1F3A5F"/>
          <w:sz w:val="36"/>
        </w:rPr>
        <w:t>PROCES-VERBAL DE VERIFICARE FUNCȚIONALĂ</w:t>
      </w:r>
    </w:p>
    <w:p w14:paraId="007968C9" w14:textId="77777777" w:rsidR="00FF4357" w:rsidRPr="0052711F" w:rsidRDefault="00000000">
      <w:pPr>
        <w:spacing w:after="280"/>
        <w:jc w:val="center"/>
        <w:rPr>
          <w:lang w:val="it-IT"/>
        </w:rPr>
      </w:pPr>
      <w:r w:rsidRPr="0052711F">
        <w:rPr>
          <w:b/>
          <w:sz w:val="26"/>
          <w:lang w:val="it-IT"/>
        </w:rPr>
        <w:t>LOT 1 — Sistem de inteligență artificială pentru platforma digitală inteligentă de prevenire și combatere a dezinformării (DIDI)</w:t>
      </w:r>
    </w:p>
    <w:tbl>
      <w:tblPr>
        <w:tblStyle w:val="LightList-Accent1"/>
        <w:tblW w:w="0" w:type="auto"/>
        <w:jc w:val="center"/>
        <w:tblLook w:val="04A0" w:firstRow="1" w:lastRow="0" w:firstColumn="1" w:lastColumn="0" w:noHBand="0" w:noVBand="1"/>
      </w:tblPr>
      <w:tblGrid>
        <w:gridCol w:w="4320"/>
        <w:gridCol w:w="4320"/>
      </w:tblGrid>
      <w:tr w:rsidR="00FF4357" w14:paraId="5DC53713" w14:textId="77777777" w:rsidTr="00FF435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Pr>
          <w:p w14:paraId="4CB588A9" w14:textId="77777777" w:rsidR="00FF4357" w:rsidRDefault="00000000">
            <w:r>
              <w:t>Obiectul verificării</w:t>
            </w:r>
          </w:p>
        </w:tc>
        <w:tc>
          <w:tcPr>
            <w:tcW w:w="4320" w:type="dxa"/>
          </w:tcPr>
          <w:p w14:paraId="6B48AA96" w14:textId="77777777" w:rsidR="00FF4357" w:rsidRDefault="00000000">
            <w:pPr>
              <w:cnfStyle w:val="100000000000" w:firstRow="1" w:lastRow="0" w:firstColumn="0" w:lastColumn="0" w:oddVBand="0" w:evenVBand="0" w:oddHBand="0" w:evenHBand="0" w:firstRowFirstColumn="0" w:firstRowLastColumn="0" w:lastRowFirstColumn="0" w:lastRowLastColumn="0"/>
            </w:pPr>
            <w:r>
              <w:t>Recepția funcțională a modulelor Sistemului de inteligență artificială (LOT 1)</w:t>
            </w:r>
          </w:p>
        </w:tc>
      </w:tr>
      <w:tr w:rsidR="00FF4357" w14:paraId="29CCFC05" w14:textId="77777777" w:rsidTr="00FF43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Pr>
          <w:p w14:paraId="71DEB408" w14:textId="77777777" w:rsidR="00FF4357" w:rsidRDefault="00000000">
            <w:r>
              <w:t>Data verificării</w:t>
            </w:r>
          </w:p>
        </w:tc>
        <w:tc>
          <w:tcPr>
            <w:tcW w:w="4320" w:type="dxa"/>
          </w:tcPr>
          <w:p w14:paraId="07AD98D6" w14:textId="77777777" w:rsidR="00FF4357" w:rsidRDefault="00000000">
            <w:pPr>
              <w:cnfStyle w:val="000000100000" w:firstRow="0" w:lastRow="0" w:firstColumn="0" w:lastColumn="0" w:oddVBand="0" w:evenVBand="0" w:oddHBand="1" w:evenHBand="0" w:firstRowFirstColumn="0" w:firstRowLastColumn="0" w:lastRowFirstColumn="0" w:lastRowLastColumn="0"/>
            </w:pPr>
            <w:r>
              <w:t>25 iunie 2026</w:t>
            </w:r>
          </w:p>
        </w:tc>
      </w:tr>
      <w:tr w:rsidR="00FF4357" w:rsidRPr="0052711F" w14:paraId="6D64EA72" w14:textId="77777777" w:rsidTr="00FF4357">
        <w:trPr>
          <w:jc w:val="center"/>
        </w:trPr>
        <w:tc>
          <w:tcPr>
            <w:cnfStyle w:val="001000000000" w:firstRow="0" w:lastRow="0" w:firstColumn="1" w:lastColumn="0" w:oddVBand="0" w:evenVBand="0" w:oddHBand="0" w:evenHBand="0" w:firstRowFirstColumn="0" w:firstRowLastColumn="0" w:lastRowFirstColumn="0" w:lastRowLastColumn="0"/>
            <w:tcW w:w="4320" w:type="dxa"/>
          </w:tcPr>
          <w:p w14:paraId="37ED2116" w14:textId="77777777" w:rsidR="00FF4357" w:rsidRDefault="00000000">
            <w:r>
              <w:t>Mediu de testare</w:t>
            </w:r>
          </w:p>
        </w:tc>
        <w:tc>
          <w:tcPr>
            <w:tcW w:w="4320" w:type="dxa"/>
          </w:tcPr>
          <w:p w14:paraId="1F1B1798" w14:textId="77777777" w:rsidR="00FF4357" w:rsidRPr="0052711F" w:rsidRDefault="00000000">
            <w:pPr>
              <w:cnfStyle w:val="000000000000" w:firstRow="0" w:lastRow="0" w:firstColumn="0" w:lastColumn="0" w:oddVBand="0" w:evenVBand="0" w:oddHBand="0" w:evenHBand="0" w:firstRowFirstColumn="0" w:firstRowLastColumn="0" w:lastRowFirstColumn="0" w:lastRowLastColumn="0"/>
              <w:rPr>
                <w:lang w:val="it-IT"/>
              </w:rPr>
            </w:pPr>
            <w:r w:rsidRPr="0052711F">
              <w:rPr>
                <w:lang w:val="it-IT"/>
              </w:rPr>
              <w:t>Platformă AI containerizată (Docker), rețea internă DIDI — gazdă didi11 (10.11.10.11)</w:t>
            </w:r>
          </w:p>
        </w:tc>
      </w:tr>
      <w:tr w:rsidR="00FF4357" w14:paraId="4B64201D" w14:textId="77777777" w:rsidTr="00FF43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Pr>
          <w:p w14:paraId="53831B83" w14:textId="77777777" w:rsidR="00FF4357" w:rsidRDefault="00000000">
            <w:r>
              <w:t>Document de referință</w:t>
            </w:r>
          </w:p>
        </w:tc>
        <w:tc>
          <w:tcPr>
            <w:tcW w:w="4320" w:type="dxa"/>
          </w:tcPr>
          <w:p w14:paraId="67C3536B" w14:textId="77777777" w:rsidR="00FF4357" w:rsidRDefault="00000000">
            <w:pPr>
              <w:cnfStyle w:val="000000100000" w:firstRow="0" w:lastRow="0" w:firstColumn="0" w:lastColumn="0" w:oddVBand="0" w:evenVBand="0" w:oddHBand="1" w:evenHBand="0" w:firstRowFirstColumn="0" w:firstRowLastColumn="0" w:lastRowFirstColumn="0" w:lastRowLastColumn="0"/>
            </w:pPr>
            <w:r>
              <w:t>Caiet de sarcini — Active necorporale TOP CLOSSERS; Propunere tehnică LOT 1</w:t>
            </w:r>
          </w:p>
        </w:tc>
      </w:tr>
    </w:tbl>
    <w:p w14:paraId="5B30D61F" w14:textId="77777777" w:rsidR="00FF4357" w:rsidRDefault="00FF4357"/>
    <w:p w14:paraId="7B933814" w14:textId="77777777" w:rsidR="00FF4357" w:rsidRDefault="00000000">
      <w:pPr>
        <w:pStyle w:val="Heading1"/>
      </w:pPr>
      <w:r>
        <w:t>1. Obiectul și scopul procesului-verbal</w:t>
      </w:r>
    </w:p>
    <w:p w14:paraId="59DB48C8" w14:textId="77777777" w:rsidR="00FF4357" w:rsidRPr="0052711F" w:rsidRDefault="00000000" w:rsidP="0052711F">
      <w:pPr>
        <w:spacing w:after="120"/>
        <w:jc w:val="both"/>
        <w:rPr>
          <w:lang w:val="it-IT"/>
        </w:rPr>
      </w:pPr>
      <w:r>
        <w:t xml:space="preserve">Prezentul proces-verbal consemnează rezultatul verificării funcționale a Sistemului de inteligență artificială (LOT 1), componentă care se integrează cu aplicația backend a platformei DIDI destinate prevenirii și combaterii dezinformării. </w:t>
      </w:r>
      <w:r w:rsidRPr="0052711F">
        <w:rPr>
          <w:lang w:val="it-IT"/>
        </w:rPr>
        <w:t>Verificarea a urmărit confirmarea faptului că fiecare dintre modulele solicitate prin caietul de sarcini este implementat, instalat pe infrastructura proiectului și operațional.</w:t>
      </w:r>
    </w:p>
    <w:p w14:paraId="4C8401B0" w14:textId="77777777" w:rsidR="00FF4357" w:rsidRPr="0052711F" w:rsidRDefault="00000000" w:rsidP="0052711F">
      <w:pPr>
        <w:spacing w:after="120"/>
        <w:jc w:val="both"/>
        <w:rPr>
          <w:lang w:val="it-IT"/>
        </w:rPr>
      </w:pPr>
      <w:r w:rsidRPr="0052711F">
        <w:rPr>
          <w:lang w:val="it-IT"/>
        </w:rPr>
        <w:t>Conform caietului de sarcini, sistemul AI trebuie să încorporeze cel puțin următoarele module: (1) Modul inferență LLM, (2) Modul extractor bazat pe machine learning, (3) Modul integrat web crawl (evidence collector), (4) Dashboard (Admin UI), (5) Cache, (6) Containerizare, CI/CD și orchestrare. Verificarea a fost realizată prin interogarea directă a serviciilor (health-check, API) și prin consola de administrare a platformei AI, capturile de ecran fiind anexate ca dovezi în cadrul fiecărei secțiuni.</w:t>
      </w:r>
    </w:p>
    <w:p w14:paraId="7F419F64" w14:textId="77777777" w:rsidR="00FF4357" w:rsidRPr="0052711F" w:rsidRDefault="00000000">
      <w:pPr>
        <w:pStyle w:val="Heading1"/>
        <w:rPr>
          <w:lang w:val="it-IT"/>
        </w:rPr>
      </w:pPr>
      <w:r w:rsidRPr="0052711F">
        <w:rPr>
          <w:lang w:val="it-IT"/>
        </w:rPr>
        <w:t>2. Contextul și infrastructura verificată</w:t>
      </w:r>
    </w:p>
    <w:p w14:paraId="138CB318" w14:textId="77777777" w:rsidR="00FF4357" w:rsidRPr="0052711F" w:rsidRDefault="00000000" w:rsidP="0052711F">
      <w:pPr>
        <w:spacing w:after="120"/>
        <w:jc w:val="both"/>
        <w:rPr>
          <w:lang w:val="it-IT"/>
        </w:rPr>
      </w:pPr>
      <w:r w:rsidRPr="0052711F">
        <w:rPr>
          <w:lang w:val="it-IT"/>
        </w:rPr>
        <w:t>Toate componentele platformei AI rulează containerizat, pe o rețea Docker internă izolată, expunând fiecare un endpoint de tip /health și un API REST compatibil cu standardele industriei (OpenAI / Cohere). Consola unică de administrare (Dashboard Admin AI) agregă starea în timp real a tuturor modulelor și permite configurarea acestora.</w:t>
      </w:r>
    </w:p>
    <w:p w14:paraId="17BF6BA0" w14:textId="77777777" w:rsidR="00FF4357" w:rsidRDefault="00000000" w:rsidP="0052711F">
      <w:pPr>
        <w:spacing w:after="120"/>
        <w:jc w:val="both"/>
      </w:pPr>
      <w:r w:rsidRPr="0052711F">
        <w:rPr>
          <w:lang w:val="it-IT"/>
        </w:rPr>
        <w:t xml:space="preserve">Datele procesate rămân integral pe infrastructura locală a proiectului — modelele principale (LLM, embeddings, reranking, transcriere, analiză video) rulează pe hardware propriu, fără ca un conținut analizat să părăsească perimetrul platformei. </w:t>
      </w:r>
      <w:r>
        <w:t>Furnizorii externi (cloud) sunt utilizați exclusiv ca mecanism de rezervă (fallback).</w:t>
      </w:r>
    </w:p>
    <w:p w14:paraId="25908CAD" w14:textId="77777777" w:rsidR="00FF4357" w:rsidRDefault="00000000">
      <w:pPr>
        <w:spacing w:before="120"/>
        <w:jc w:val="center"/>
      </w:pPr>
      <w:r>
        <w:rPr>
          <w:noProof/>
        </w:rPr>
        <w:lastRenderedPageBreak/>
        <w:drawing>
          <wp:inline distT="0" distB="0" distL="0" distR="0" wp14:anchorId="6D090727" wp14:editId="0E644853">
            <wp:extent cx="5760000" cy="264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6"/>
                    <a:stretch>
                      <a:fillRect/>
                    </a:stretch>
                  </pic:blipFill>
                  <pic:spPr>
                    <a:xfrm>
                      <a:off x="0" y="0"/>
                      <a:ext cx="5760000" cy="2649600"/>
                    </a:xfrm>
                    <a:prstGeom prst="rect">
                      <a:avLst/>
                    </a:prstGeom>
                  </pic:spPr>
                </pic:pic>
              </a:graphicData>
            </a:graphic>
          </wp:inline>
        </w:drawing>
      </w:r>
    </w:p>
    <w:p w14:paraId="3571A17D" w14:textId="77777777" w:rsidR="00FF4357" w:rsidRPr="0052711F" w:rsidRDefault="00000000">
      <w:pPr>
        <w:spacing w:before="40" w:after="240"/>
        <w:jc w:val="center"/>
        <w:rPr>
          <w:lang w:val="it-IT"/>
        </w:rPr>
      </w:pPr>
      <w:r w:rsidRPr="0052711F">
        <w:rPr>
          <w:i/>
          <w:color w:val="555555"/>
          <w:sz w:val="18"/>
          <w:lang w:val="it-IT"/>
        </w:rPr>
        <w:t>Fig. 1 — Consola de administrare a platformei AI (Operations Overview): activitate ultimele 24h (185 cereri, rată erori 3,8%, durată medie 57 ms) și suprafața de configurare (96 de chei pe 8 module).</w:t>
      </w:r>
    </w:p>
    <w:p w14:paraId="634D0DAD" w14:textId="77777777" w:rsidR="00FF4357" w:rsidRDefault="00000000">
      <w:pPr>
        <w:pStyle w:val="Heading2"/>
      </w:pPr>
      <w:r>
        <w:t>Sinteza verificării</w:t>
      </w:r>
    </w:p>
    <w:tbl>
      <w:tblPr>
        <w:tblStyle w:val="LightGrid-Accent1"/>
        <w:tblW w:w="0" w:type="auto"/>
        <w:tblLook w:val="04A0" w:firstRow="1" w:lastRow="0" w:firstColumn="1" w:lastColumn="0" w:noHBand="0" w:noVBand="1"/>
      </w:tblPr>
      <w:tblGrid>
        <w:gridCol w:w="2880"/>
        <w:gridCol w:w="2880"/>
        <w:gridCol w:w="2880"/>
      </w:tblGrid>
      <w:tr w:rsidR="00FF4357" w14:paraId="0844A371" w14:textId="77777777" w:rsidTr="00FF43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shd w:val="clear" w:color="auto" w:fill="1F3A5F"/>
          </w:tcPr>
          <w:p w14:paraId="1E129AD0" w14:textId="77777777" w:rsidR="00FF4357" w:rsidRDefault="00000000">
            <w:r>
              <w:rPr>
                <w:color w:val="FFFFFF"/>
              </w:rPr>
              <w:t>Modul (caiet de sarcini)</w:t>
            </w:r>
          </w:p>
        </w:tc>
        <w:tc>
          <w:tcPr>
            <w:tcW w:w="2880" w:type="dxa"/>
            <w:shd w:val="clear" w:color="auto" w:fill="1F3A5F"/>
          </w:tcPr>
          <w:p w14:paraId="4AC9E5CB" w14:textId="77777777" w:rsidR="00FF4357" w:rsidRDefault="00000000">
            <w:pPr>
              <w:cnfStyle w:val="100000000000" w:firstRow="1" w:lastRow="0" w:firstColumn="0" w:lastColumn="0" w:oddVBand="0" w:evenVBand="0" w:oddHBand="0" w:evenHBand="0" w:firstRowFirstColumn="0" w:firstRowLastColumn="0" w:lastRowFirstColumn="0" w:lastRowLastColumn="0"/>
            </w:pPr>
            <w:r>
              <w:rPr>
                <w:color w:val="FFFFFF"/>
              </w:rPr>
              <w:t>Stare</w:t>
            </w:r>
          </w:p>
        </w:tc>
        <w:tc>
          <w:tcPr>
            <w:tcW w:w="2880" w:type="dxa"/>
            <w:shd w:val="clear" w:color="auto" w:fill="1F3A5F"/>
          </w:tcPr>
          <w:p w14:paraId="3E817A7B" w14:textId="77777777" w:rsidR="00FF4357" w:rsidRDefault="00000000">
            <w:pPr>
              <w:cnfStyle w:val="100000000000" w:firstRow="1" w:lastRow="0" w:firstColumn="0" w:lastColumn="0" w:oddVBand="0" w:evenVBand="0" w:oddHBand="0" w:evenHBand="0" w:firstRowFirstColumn="0" w:firstRowLastColumn="0" w:lastRowFirstColumn="0" w:lastRowLastColumn="0"/>
            </w:pPr>
            <w:r>
              <w:rPr>
                <w:color w:val="FFFFFF"/>
              </w:rPr>
              <w:t>Dovadă (figuri)</w:t>
            </w:r>
          </w:p>
        </w:tc>
      </w:tr>
      <w:tr w:rsidR="00FF4357" w14:paraId="33067D02" w14:textId="77777777" w:rsidTr="00FF43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4C3EE8F6" w14:textId="77777777" w:rsidR="00FF4357" w:rsidRDefault="00000000">
            <w:r>
              <w:t>1. Inferență LLM</w:t>
            </w:r>
          </w:p>
        </w:tc>
        <w:tc>
          <w:tcPr>
            <w:tcW w:w="2880" w:type="dxa"/>
          </w:tcPr>
          <w:p w14:paraId="247C0713" w14:textId="77777777" w:rsidR="00FF4357" w:rsidRDefault="00000000">
            <w:pPr>
              <w:cnfStyle w:val="000000100000" w:firstRow="0" w:lastRow="0" w:firstColumn="0" w:lastColumn="0" w:oddVBand="0" w:evenVBand="0" w:oddHBand="1" w:evenHBand="0" w:firstRowFirstColumn="0" w:firstRowLastColumn="0" w:lastRowFirstColumn="0" w:lastRowLastColumn="0"/>
            </w:pPr>
            <w:r>
              <w:rPr>
                <w:b/>
                <w:color w:val="1E7A33"/>
              </w:rPr>
              <w:t>FUNCȚIONAL</w:t>
            </w:r>
          </w:p>
        </w:tc>
        <w:tc>
          <w:tcPr>
            <w:tcW w:w="2880" w:type="dxa"/>
          </w:tcPr>
          <w:p w14:paraId="45283859" w14:textId="77777777" w:rsidR="00FF4357" w:rsidRDefault="00000000">
            <w:pPr>
              <w:cnfStyle w:val="000000100000" w:firstRow="0" w:lastRow="0" w:firstColumn="0" w:lastColumn="0" w:oddVBand="0" w:evenVBand="0" w:oddHBand="1" w:evenHBand="0" w:firstRowFirstColumn="0" w:firstRowLastColumn="0" w:lastRowFirstColumn="0" w:lastRowLastColumn="0"/>
            </w:pPr>
            <w:r>
              <w:t>Fig. 2, 3, 12</w:t>
            </w:r>
          </w:p>
        </w:tc>
      </w:tr>
      <w:tr w:rsidR="00FF4357" w14:paraId="4955D4B7" w14:textId="77777777" w:rsidTr="00FF43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1AF684EE" w14:textId="77777777" w:rsidR="00FF4357" w:rsidRDefault="00000000">
            <w:r>
              <w:t>2. Extractor ML &amp; analiză media</w:t>
            </w:r>
          </w:p>
        </w:tc>
        <w:tc>
          <w:tcPr>
            <w:tcW w:w="2880" w:type="dxa"/>
          </w:tcPr>
          <w:p w14:paraId="7E5651B5" w14:textId="77777777" w:rsidR="00FF4357" w:rsidRDefault="00000000">
            <w:pPr>
              <w:cnfStyle w:val="000000010000" w:firstRow="0" w:lastRow="0" w:firstColumn="0" w:lastColumn="0" w:oddVBand="0" w:evenVBand="0" w:oddHBand="0" w:evenHBand="1" w:firstRowFirstColumn="0" w:firstRowLastColumn="0" w:lastRowFirstColumn="0" w:lastRowLastColumn="0"/>
            </w:pPr>
            <w:r>
              <w:rPr>
                <w:b/>
                <w:color w:val="1E7A33"/>
              </w:rPr>
              <w:t>FUNCȚIONAL</w:t>
            </w:r>
          </w:p>
        </w:tc>
        <w:tc>
          <w:tcPr>
            <w:tcW w:w="2880" w:type="dxa"/>
          </w:tcPr>
          <w:p w14:paraId="5089963F" w14:textId="77777777" w:rsidR="00FF4357" w:rsidRDefault="00000000">
            <w:pPr>
              <w:cnfStyle w:val="000000010000" w:firstRow="0" w:lastRow="0" w:firstColumn="0" w:lastColumn="0" w:oddVBand="0" w:evenVBand="0" w:oddHBand="0" w:evenHBand="1" w:firstRowFirstColumn="0" w:firstRowLastColumn="0" w:lastRowFirstColumn="0" w:lastRowLastColumn="0"/>
            </w:pPr>
            <w:r>
              <w:t>Fig. 4, 5</w:t>
            </w:r>
          </w:p>
        </w:tc>
      </w:tr>
      <w:tr w:rsidR="00FF4357" w14:paraId="0BE97F76" w14:textId="77777777" w:rsidTr="00FF43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7CCE448C" w14:textId="77777777" w:rsidR="00FF4357" w:rsidRDefault="00000000">
            <w:r>
              <w:t>3. Web crawl (evidence collector)</w:t>
            </w:r>
          </w:p>
        </w:tc>
        <w:tc>
          <w:tcPr>
            <w:tcW w:w="2880" w:type="dxa"/>
          </w:tcPr>
          <w:p w14:paraId="1028A76C" w14:textId="77777777" w:rsidR="00FF4357" w:rsidRDefault="00000000">
            <w:pPr>
              <w:cnfStyle w:val="000000100000" w:firstRow="0" w:lastRow="0" w:firstColumn="0" w:lastColumn="0" w:oddVBand="0" w:evenVBand="0" w:oddHBand="1" w:evenHBand="0" w:firstRowFirstColumn="0" w:firstRowLastColumn="0" w:lastRowFirstColumn="0" w:lastRowLastColumn="0"/>
            </w:pPr>
            <w:r>
              <w:rPr>
                <w:b/>
                <w:color w:val="1E7A33"/>
              </w:rPr>
              <w:t>FUNCȚIONAL</w:t>
            </w:r>
          </w:p>
        </w:tc>
        <w:tc>
          <w:tcPr>
            <w:tcW w:w="2880" w:type="dxa"/>
          </w:tcPr>
          <w:p w14:paraId="02AB97C1" w14:textId="77777777" w:rsidR="00FF4357" w:rsidRDefault="00000000">
            <w:pPr>
              <w:cnfStyle w:val="000000100000" w:firstRow="0" w:lastRow="0" w:firstColumn="0" w:lastColumn="0" w:oddVBand="0" w:evenVBand="0" w:oddHBand="1" w:evenHBand="0" w:firstRowFirstColumn="0" w:firstRowLastColumn="0" w:lastRowFirstColumn="0" w:lastRowLastColumn="0"/>
            </w:pPr>
            <w:r>
              <w:t>Fig. 6, 12</w:t>
            </w:r>
          </w:p>
        </w:tc>
      </w:tr>
      <w:tr w:rsidR="00FF4357" w14:paraId="70235F40" w14:textId="77777777" w:rsidTr="00FF43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17CB9C20" w14:textId="77777777" w:rsidR="00FF4357" w:rsidRDefault="00000000">
            <w:r>
              <w:t>4. Dashboard (Admin UI)</w:t>
            </w:r>
          </w:p>
        </w:tc>
        <w:tc>
          <w:tcPr>
            <w:tcW w:w="2880" w:type="dxa"/>
          </w:tcPr>
          <w:p w14:paraId="79314251" w14:textId="77777777" w:rsidR="00FF4357" w:rsidRDefault="00000000">
            <w:pPr>
              <w:cnfStyle w:val="000000010000" w:firstRow="0" w:lastRow="0" w:firstColumn="0" w:lastColumn="0" w:oddVBand="0" w:evenVBand="0" w:oddHBand="0" w:evenHBand="1" w:firstRowFirstColumn="0" w:firstRowLastColumn="0" w:lastRowFirstColumn="0" w:lastRowLastColumn="0"/>
            </w:pPr>
            <w:r>
              <w:rPr>
                <w:b/>
                <w:color w:val="1E7A33"/>
              </w:rPr>
              <w:t>FUNCȚIONAL</w:t>
            </w:r>
          </w:p>
        </w:tc>
        <w:tc>
          <w:tcPr>
            <w:tcW w:w="2880" w:type="dxa"/>
          </w:tcPr>
          <w:p w14:paraId="71CA120D" w14:textId="77777777" w:rsidR="00FF4357" w:rsidRDefault="00000000">
            <w:pPr>
              <w:cnfStyle w:val="000000010000" w:firstRow="0" w:lastRow="0" w:firstColumn="0" w:lastColumn="0" w:oddVBand="0" w:evenVBand="0" w:oddHBand="0" w:evenHBand="1" w:firstRowFirstColumn="0" w:firstRowLastColumn="0" w:lastRowFirstColumn="0" w:lastRowLastColumn="0"/>
            </w:pPr>
            <w:r>
              <w:t>Fig. 1, 7, 13–17</w:t>
            </w:r>
          </w:p>
        </w:tc>
      </w:tr>
      <w:tr w:rsidR="00FF4357" w14:paraId="71763B28" w14:textId="77777777" w:rsidTr="00FF43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180A150F" w14:textId="77777777" w:rsidR="00FF4357" w:rsidRDefault="00000000">
            <w:r>
              <w:t>5. Cache</w:t>
            </w:r>
          </w:p>
        </w:tc>
        <w:tc>
          <w:tcPr>
            <w:tcW w:w="2880" w:type="dxa"/>
          </w:tcPr>
          <w:p w14:paraId="55D6AF33" w14:textId="77777777" w:rsidR="00FF4357" w:rsidRDefault="00000000">
            <w:pPr>
              <w:cnfStyle w:val="000000100000" w:firstRow="0" w:lastRow="0" w:firstColumn="0" w:lastColumn="0" w:oddVBand="0" w:evenVBand="0" w:oddHBand="1" w:evenHBand="0" w:firstRowFirstColumn="0" w:firstRowLastColumn="0" w:lastRowFirstColumn="0" w:lastRowLastColumn="0"/>
            </w:pPr>
            <w:r>
              <w:rPr>
                <w:b/>
                <w:color w:val="1E7A33"/>
              </w:rPr>
              <w:t>FUNCȚIONAL</w:t>
            </w:r>
          </w:p>
        </w:tc>
        <w:tc>
          <w:tcPr>
            <w:tcW w:w="2880" w:type="dxa"/>
          </w:tcPr>
          <w:p w14:paraId="280C0DB2" w14:textId="77777777" w:rsidR="00FF4357" w:rsidRDefault="00000000">
            <w:pPr>
              <w:cnfStyle w:val="000000100000" w:firstRow="0" w:lastRow="0" w:firstColumn="0" w:lastColumn="0" w:oddVBand="0" w:evenVBand="0" w:oddHBand="1" w:evenHBand="0" w:firstRowFirstColumn="0" w:firstRowLastColumn="0" w:lastRowFirstColumn="0" w:lastRowLastColumn="0"/>
            </w:pPr>
            <w:r>
              <w:t>Fig. 8, 9</w:t>
            </w:r>
          </w:p>
        </w:tc>
      </w:tr>
      <w:tr w:rsidR="00FF4357" w14:paraId="1D9A429D" w14:textId="77777777" w:rsidTr="00FF43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5FC85109" w14:textId="77777777" w:rsidR="00FF4357" w:rsidRDefault="00000000">
            <w:r>
              <w:t>6. Containerizare, CI/CD, orchestrare</w:t>
            </w:r>
          </w:p>
        </w:tc>
        <w:tc>
          <w:tcPr>
            <w:tcW w:w="2880" w:type="dxa"/>
          </w:tcPr>
          <w:p w14:paraId="22D9A881" w14:textId="77777777" w:rsidR="00FF4357" w:rsidRDefault="00000000">
            <w:pPr>
              <w:cnfStyle w:val="000000010000" w:firstRow="0" w:lastRow="0" w:firstColumn="0" w:lastColumn="0" w:oddVBand="0" w:evenVBand="0" w:oddHBand="0" w:evenHBand="1" w:firstRowFirstColumn="0" w:firstRowLastColumn="0" w:lastRowFirstColumn="0" w:lastRowLastColumn="0"/>
            </w:pPr>
            <w:r>
              <w:rPr>
                <w:b/>
                <w:color w:val="1E7A33"/>
              </w:rPr>
              <w:t>FUNCȚIONAL</w:t>
            </w:r>
          </w:p>
        </w:tc>
        <w:tc>
          <w:tcPr>
            <w:tcW w:w="2880" w:type="dxa"/>
          </w:tcPr>
          <w:p w14:paraId="1322155D" w14:textId="77777777" w:rsidR="00FF4357" w:rsidRDefault="00000000">
            <w:pPr>
              <w:cnfStyle w:val="000000010000" w:firstRow="0" w:lastRow="0" w:firstColumn="0" w:lastColumn="0" w:oddVBand="0" w:evenVBand="0" w:oddHBand="0" w:evenHBand="1" w:firstRowFirstColumn="0" w:firstRowLastColumn="0" w:lastRowFirstColumn="0" w:lastRowLastColumn="0"/>
            </w:pPr>
            <w:r>
              <w:t>Fig. 10, întreaga platformă</w:t>
            </w:r>
          </w:p>
        </w:tc>
      </w:tr>
      <w:tr w:rsidR="00FF4357" w14:paraId="3CCA7C48" w14:textId="77777777" w:rsidTr="00FF43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41FA52DB" w14:textId="77777777" w:rsidR="00FF4357" w:rsidRDefault="00000000">
            <w:r>
              <w:t>Servicii AI complementare (Embeddings, Rerank, RAG/Brain)</w:t>
            </w:r>
          </w:p>
        </w:tc>
        <w:tc>
          <w:tcPr>
            <w:tcW w:w="2880" w:type="dxa"/>
          </w:tcPr>
          <w:p w14:paraId="3B4982E3" w14:textId="77777777" w:rsidR="00FF4357" w:rsidRDefault="00000000">
            <w:pPr>
              <w:cnfStyle w:val="000000100000" w:firstRow="0" w:lastRow="0" w:firstColumn="0" w:lastColumn="0" w:oddVBand="0" w:evenVBand="0" w:oddHBand="1" w:evenHBand="0" w:firstRowFirstColumn="0" w:firstRowLastColumn="0" w:lastRowFirstColumn="0" w:lastRowLastColumn="0"/>
            </w:pPr>
            <w:r>
              <w:rPr>
                <w:b/>
                <w:color w:val="1E7A33"/>
              </w:rPr>
              <w:t>FUNCȚIONAL</w:t>
            </w:r>
          </w:p>
        </w:tc>
        <w:tc>
          <w:tcPr>
            <w:tcW w:w="2880" w:type="dxa"/>
          </w:tcPr>
          <w:p w14:paraId="0E2F0474" w14:textId="77777777" w:rsidR="00FF4357" w:rsidRDefault="00000000">
            <w:pPr>
              <w:cnfStyle w:val="000000100000" w:firstRow="0" w:lastRow="0" w:firstColumn="0" w:lastColumn="0" w:oddVBand="0" w:evenVBand="0" w:oddHBand="1" w:evenHBand="0" w:firstRowFirstColumn="0" w:firstRowLastColumn="0" w:lastRowFirstColumn="0" w:lastRowLastColumn="0"/>
            </w:pPr>
            <w:r>
              <w:t>Fig. 11, 18–23</w:t>
            </w:r>
          </w:p>
        </w:tc>
      </w:tr>
    </w:tbl>
    <w:p w14:paraId="3F0E9B17" w14:textId="77777777" w:rsidR="00FF4357" w:rsidRDefault="00FF4357"/>
    <w:p w14:paraId="2E609F64" w14:textId="77777777" w:rsidR="00FF4357" w:rsidRDefault="00000000">
      <w:pPr>
        <w:pStyle w:val="Heading1"/>
      </w:pPr>
      <w:r>
        <w:t>3. Verificarea modulelor</w:t>
      </w:r>
    </w:p>
    <w:p w14:paraId="4BCF9798" w14:textId="77777777" w:rsidR="00FF4357" w:rsidRDefault="00000000">
      <w:pPr>
        <w:pStyle w:val="Heading2"/>
      </w:pPr>
      <w:r>
        <w:t>3.1 Modul 1 — Inferență LLM (Unified LLM Inference Gateway)</w:t>
      </w:r>
    </w:p>
    <w:p w14:paraId="75F77B01" w14:textId="77777777" w:rsidR="00FF4357" w:rsidRPr="0052711F" w:rsidRDefault="00000000" w:rsidP="0052711F">
      <w:pPr>
        <w:spacing w:after="120"/>
        <w:jc w:val="both"/>
        <w:rPr>
          <w:lang w:val="it-IT"/>
        </w:rPr>
      </w:pPr>
      <w:r w:rsidRPr="0052711F">
        <w:rPr>
          <w:lang w:val="it-IT"/>
        </w:rPr>
        <w:t>Modulul de inferență este componenta centrală a platformei AI. Este implementat ca un gateway unificat (FastAPI) care expune un API compatibil OpenAI (/v1/chat/completions, /v1/models) și rutează cererile către trei tipuri de backend: vLLM (GPU, throughput ridicat), llama.cpp (CPU/GPU, modele quantizate) și LiteLLM (rutare către provideri cloud, ca rezervă). Selecția backend-ului este automată, în funcție de modelul solicitat, cu lanț de fallback configurabil (local → alternativ local → cloud).</w:t>
      </w:r>
    </w:p>
    <w:p w14:paraId="3236DEEF" w14:textId="77777777" w:rsidR="00FF4357" w:rsidRPr="0052711F" w:rsidRDefault="00000000" w:rsidP="0052711F">
      <w:pPr>
        <w:spacing w:after="120"/>
        <w:jc w:val="both"/>
        <w:rPr>
          <w:lang w:val="it-IT"/>
        </w:rPr>
      </w:pPr>
      <w:r w:rsidRPr="0052711F">
        <w:rPr>
          <w:lang w:val="it-IT"/>
        </w:rPr>
        <w:lastRenderedPageBreak/>
        <w:t>Modelul principal este Qwen3.5-35B-A3B (Mixture-of-Experts, cu suport nativ text și viziune), rulat local pe GPU prin vLLM. În panoul de configurare se observă parametrii operaționali ai modulului (backend implicit, model implicit, timeouts, număr de reîncercări), iar în panoul de furnizori se confirmă disponibilitatea (healthy) a modelelor locale: Qwen3.5-35B-A3B (vLLM) și a două servere llama.cpp (10.11.10.18 și 10.11.10.19).</w:t>
      </w:r>
    </w:p>
    <w:p w14:paraId="7E133D2E" w14:textId="77777777" w:rsidR="00FF4357" w:rsidRDefault="00000000">
      <w:pPr>
        <w:spacing w:before="120"/>
        <w:jc w:val="center"/>
      </w:pPr>
      <w:r>
        <w:rPr>
          <w:noProof/>
        </w:rPr>
        <w:drawing>
          <wp:inline distT="0" distB="0" distL="0" distR="0" wp14:anchorId="38375405" wp14:editId="3D9F22AD">
            <wp:extent cx="5760000" cy="27035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7"/>
                    <a:stretch>
                      <a:fillRect/>
                    </a:stretch>
                  </pic:blipFill>
                  <pic:spPr>
                    <a:xfrm>
                      <a:off x="0" y="0"/>
                      <a:ext cx="5760000" cy="2703580"/>
                    </a:xfrm>
                    <a:prstGeom prst="rect">
                      <a:avLst/>
                    </a:prstGeom>
                  </pic:spPr>
                </pic:pic>
              </a:graphicData>
            </a:graphic>
          </wp:inline>
        </w:drawing>
      </w:r>
    </w:p>
    <w:p w14:paraId="431EFD0E" w14:textId="77777777" w:rsidR="00FF4357" w:rsidRDefault="00000000">
      <w:pPr>
        <w:spacing w:before="40" w:after="240"/>
        <w:jc w:val="center"/>
      </w:pPr>
      <w:r>
        <w:rPr>
          <w:i/>
          <w:color w:val="555555"/>
          <w:sz w:val="18"/>
        </w:rPr>
        <w:t>Fig. 2 — Modul Inferență LLM: configurare backend (selecție automată), model implicit, timeouts și politică de reîncercare.</w:t>
      </w:r>
    </w:p>
    <w:p w14:paraId="16DED8EE" w14:textId="77777777" w:rsidR="00FF4357" w:rsidRDefault="00000000">
      <w:pPr>
        <w:spacing w:before="120"/>
        <w:jc w:val="center"/>
      </w:pPr>
      <w:r>
        <w:rPr>
          <w:noProof/>
        </w:rPr>
        <w:drawing>
          <wp:inline distT="0" distB="0" distL="0" distR="0" wp14:anchorId="1D021F0A" wp14:editId="756D9474">
            <wp:extent cx="5760000" cy="265584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png"/>
                    <pic:cNvPicPr/>
                  </pic:nvPicPr>
                  <pic:blipFill>
                    <a:blip r:embed="rId8"/>
                    <a:stretch>
                      <a:fillRect/>
                    </a:stretch>
                  </pic:blipFill>
                  <pic:spPr>
                    <a:xfrm>
                      <a:off x="0" y="0"/>
                      <a:ext cx="5760000" cy="2655849"/>
                    </a:xfrm>
                    <a:prstGeom prst="rect">
                      <a:avLst/>
                    </a:prstGeom>
                  </pic:spPr>
                </pic:pic>
              </a:graphicData>
            </a:graphic>
          </wp:inline>
        </w:drawing>
      </w:r>
    </w:p>
    <w:p w14:paraId="7E34E9F0" w14:textId="77777777" w:rsidR="00FF4357" w:rsidRDefault="00000000">
      <w:pPr>
        <w:spacing w:before="40" w:after="240"/>
        <w:jc w:val="center"/>
      </w:pPr>
      <w:r>
        <w:rPr>
          <w:i/>
          <w:color w:val="555555"/>
          <w:sz w:val="18"/>
        </w:rPr>
        <w:t>Fig. 3 — Furnizori de inferență disponibili (healthy): Qwen3.5-35B-A3B (vLLM local), llama.cpp #1 (10.11.10.18) și llama.cpp #2 (10.11.10.19), plus furnizorii cloud de rezervă.</w:t>
      </w:r>
    </w:p>
    <w:p w14:paraId="4EFFA754" w14:textId="77777777" w:rsidR="00FF4357" w:rsidRDefault="00000000">
      <w:pPr>
        <w:pStyle w:val="Heading2"/>
      </w:pPr>
      <w:r>
        <w:lastRenderedPageBreak/>
        <w:t>3.2 Modul 2 — Extractor ML &amp; analiză media (Feature Extraction Pipeline)</w:t>
      </w:r>
    </w:p>
    <w:p w14:paraId="40C32732" w14:textId="77777777" w:rsidR="00FF4357" w:rsidRDefault="00000000" w:rsidP="0052711F">
      <w:pPr>
        <w:spacing w:after="120"/>
        <w:jc w:val="both"/>
      </w:pPr>
      <w:r>
        <w:t>Modulul extractor procesează cereri de extragere de caracteristici (features) din imagini, text, video și audio, prin microservicii containerizate independente. Verificarea a confirmat funcționarea celor două extractoare specializate cu model propriu:</w:t>
      </w:r>
    </w:p>
    <w:p w14:paraId="19C36F4D" w14:textId="77777777" w:rsidR="00FF4357" w:rsidRDefault="00000000" w:rsidP="0052711F">
      <w:pPr>
        <w:spacing w:after="60"/>
        <w:jc w:val="both"/>
      </w:pPr>
      <w:r>
        <w:t>• Transcriere audio (Speech-to-Text) — serviciu bazat pe faster-whisper, model large-v3-turbo (quantizat int8), cu detectare automată a limbii și API compatibil OpenAI (/v1/audio/transcriptions). Parametrii de decodare (beam size, best of, temperature) sunt configurabili din consolă.</w:t>
      </w:r>
    </w:p>
    <w:p w14:paraId="7991910B" w14:textId="77777777" w:rsidR="00FF4357" w:rsidRDefault="00000000" w:rsidP="0052711F">
      <w:pPr>
        <w:spacing w:after="60"/>
        <w:jc w:val="both"/>
      </w:pPr>
      <w:r>
        <w:t>• Detecție deepfake și analiză video — serviciu bazat pe modelul BusterX (Qwen2.5-VL-7B specializat) servit prin vLLM, cu eșantionare de cadre configurabilă (implicit 16 cadre pentru screening rapid, până la 144+ pentru analiză semantică) și verdict REAL/FAKE/UNCERTAIN.</w:t>
      </w:r>
    </w:p>
    <w:p w14:paraId="60765C6A" w14:textId="77777777" w:rsidR="00FF4357" w:rsidRPr="0052711F" w:rsidRDefault="00000000" w:rsidP="0052711F">
      <w:pPr>
        <w:spacing w:after="120"/>
        <w:jc w:val="both"/>
        <w:rPr>
          <w:lang w:val="it-IT"/>
        </w:rPr>
      </w:pPr>
      <w:r w:rsidRPr="0052711F">
        <w:rPr>
          <w:lang w:val="it-IT"/>
        </w:rPr>
        <w:t>Capabilitățile suplimentare de tip OCR, detectare de artefacte AI în imagini, analiză de sentiment și recunoaștere de entități (NER) sunt furnizate prin modelul cu viziune din Modulul 1, invocat de backend cu prompturi dedicate per tip de extracție.</w:t>
      </w:r>
    </w:p>
    <w:p w14:paraId="37C42D71" w14:textId="77777777" w:rsidR="00FF4357" w:rsidRDefault="00000000">
      <w:pPr>
        <w:spacing w:before="120"/>
        <w:jc w:val="center"/>
      </w:pPr>
      <w:r>
        <w:rPr>
          <w:noProof/>
        </w:rPr>
        <w:drawing>
          <wp:inline distT="0" distB="0" distL="0" distR="0" wp14:anchorId="07E50D78" wp14:editId="79427AA6">
            <wp:extent cx="5760000" cy="270614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9"/>
                    <a:stretch>
                      <a:fillRect/>
                    </a:stretch>
                  </pic:blipFill>
                  <pic:spPr>
                    <a:xfrm>
                      <a:off x="0" y="0"/>
                      <a:ext cx="5760000" cy="2706148"/>
                    </a:xfrm>
                    <a:prstGeom prst="rect">
                      <a:avLst/>
                    </a:prstGeom>
                  </pic:spPr>
                </pic:pic>
              </a:graphicData>
            </a:graphic>
          </wp:inline>
        </w:drawing>
      </w:r>
    </w:p>
    <w:p w14:paraId="7C102735" w14:textId="77777777" w:rsidR="00FF4357" w:rsidRDefault="00000000">
      <w:pPr>
        <w:spacing w:before="40" w:after="240"/>
        <w:jc w:val="center"/>
      </w:pPr>
      <w:r>
        <w:rPr>
          <w:i/>
          <w:color w:val="555555"/>
          <w:sz w:val="18"/>
        </w:rPr>
        <w:t>Fig. 4 — Extractor audio (Whisper): model large-v3-turbo, execuție pe GPU, parametri de transcriere configurabili.</w:t>
      </w:r>
    </w:p>
    <w:p w14:paraId="12BD1052" w14:textId="77777777" w:rsidR="00FF4357" w:rsidRDefault="00000000">
      <w:pPr>
        <w:spacing w:before="120"/>
        <w:jc w:val="center"/>
      </w:pPr>
      <w:r>
        <w:rPr>
          <w:noProof/>
        </w:rPr>
        <w:lastRenderedPageBreak/>
        <w:drawing>
          <wp:inline distT="0" distB="0" distL="0" distR="0" wp14:anchorId="06682C24" wp14:editId="6572220A">
            <wp:extent cx="5760000" cy="270208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10"/>
                    <a:stretch>
                      <a:fillRect/>
                    </a:stretch>
                  </pic:blipFill>
                  <pic:spPr>
                    <a:xfrm>
                      <a:off x="0" y="0"/>
                      <a:ext cx="5760000" cy="2702081"/>
                    </a:xfrm>
                    <a:prstGeom prst="rect">
                      <a:avLst/>
                    </a:prstGeom>
                  </pic:spPr>
                </pic:pic>
              </a:graphicData>
            </a:graphic>
          </wp:inline>
        </w:drawing>
      </w:r>
    </w:p>
    <w:p w14:paraId="7A27DB33" w14:textId="77777777" w:rsidR="00FF4357" w:rsidRDefault="00000000">
      <w:pPr>
        <w:spacing w:before="40" w:after="240"/>
        <w:jc w:val="center"/>
      </w:pPr>
      <w:r>
        <w:rPr>
          <w:i/>
          <w:color w:val="555555"/>
          <w:sz w:val="18"/>
        </w:rPr>
        <w:t>Fig. 5 — Extractor video (BusterX deepfake + analiză semantică): parametri de eșantionare cadre și de inferență.</w:t>
      </w:r>
    </w:p>
    <w:p w14:paraId="66112351" w14:textId="77777777" w:rsidR="00FF4357" w:rsidRDefault="00000000">
      <w:pPr>
        <w:pStyle w:val="Heading2"/>
      </w:pPr>
      <w:r>
        <w:t>3.3 Modul 3 — Web crawl &amp; Evidence Collector (căutare web și colectare dovezi)</w:t>
      </w:r>
    </w:p>
    <w:p w14:paraId="3A84DAEE" w14:textId="77777777" w:rsidR="00FF4357" w:rsidRDefault="00000000" w:rsidP="0052711F">
      <w:pPr>
        <w:spacing w:after="120"/>
        <w:jc w:val="both"/>
      </w:pPr>
      <w:r>
        <w:t>Modulul execută, la cererea backend-ului, procese automate de căutare și colectare de informații din surse online, în scopul verificării afirmațiilor și validării surselor. Pipeline-ul complet (/v1/gather) parcurge: căutare web → descărcare conținut (fetch) → extragere fragmente relevante → structurare dovezi, cu jurnalizarea paginilor accesate.</w:t>
      </w:r>
    </w:p>
    <w:p w14:paraId="15CFA3A5" w14:textId="77777777" w:rsidR="00FF4357" w:rsidRPr="0052711F" w:rsidRDefault="00000000" w:rsidP="0052711F">
      <w:pPr>
        <w:spacing w:after="120"/>
        <w:jc w:val="both"/>
        <w:rPr>
          <w:lang w:val="it-IT"/>
        </w:rPr>
      </w:pPr>
      <w:r>
        <w:t xml:space="preserve">Modulul rulează pe mai mulți furnizori de căutare, comutabili din consolă: nivelul gratuit folosește meta-căutarea SearXNG (cluster propriu, restabilit și validat în cadrul acestei verificări), iar nivelul premium rotește furnizori dedicați (SerpAPI, Tavily, Brave Search, LinkUp, Exa). </w:t>
      </w:r>
      <w:r w:rsidRPr="0052711F">
        <w:rPr>
          <w:lang w:val="it-IT"/>
        </w:rPr>
        <w:t>Strategia de rutare (round-robin) și activarea fiecărui furnizor sunt configurabile fără repornirea serviciului.</w:t>
      </w:r>
    </w:p>
    <w:p w14:paraId="59C5B9D8" w14:textId="77777777" w:rsidR="00FF4357" w:rsidRDefault="00000000">
      <w:pPr>
        <w:spacing w:before="120"/>
        <w:jc w:val="center"/>
      </w:pPr>
      <w:r>
        <w:rPr>
          <w:noProof/>
        </w:rPr>
        <w:lastRenderedPageBreak/>
        <w:drawing>
          <wp:inline distT="0" distB="0" distL="0" distR="0" wp14:anchorId="6690C5FA" wp14:editId="5B07FAAF">
            <wp:extent cx="5760000" cy="270937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1"/>
                    <a:stretch>
                      <a:fillRect/>
                    </a:stretch>
                  </pic:blipFill>
                  <pic:spPr>
                    <a:xfrm>
                      <a:off x="0" y="0"/>
                      <a:ext cx="5760000" cy="2709376"/>
                    </a:xfrm>
                    <a:prstGeom prst="rect">
                      <a:avLst/>
                    </a:prstGeom>
                  </pic:spPr>
                </pic:pic>
              </a:graphicData>
            </a:graphic>
          </wp:inline>
        </w:drawing>
      </w:r>
    </w:p>
    <w:p w14:paraId="1177898F" w14:textId="77777777" w:rsidR="00FF4357" w:rsidRDefault="00000000">
      <w:pPr>
        <w:spacing w:before="40" w:after="240"/>
        <w:jc w:val="center"/>
      </w:pPr>
      <w:r>
        <w:rPr>
          <w:i/>
          <w:color w:val="555555"/>
          <w:sz w:val="18"/>
        </w:rPr>
        <w:t>Fig. 6 — Modul Web Search: furnizori de căutare activabili (SerpAPI, Tavily, Brave, LinkUp, Exa) și strategie de rutare, cu meta-căutare SearXNG pentru nivelul gratuit.</w:t>
      </w:r>
    </w:p>
    <w:p w14:paraId="31E4F09E" w14:textId="77777777" w:rsidR="00FF4357" w:rsidRPr="0052711F" w:rsidRDefault="00000000">
      <w:pPr>
        <w:pStyle w:val="Heading2"/>
        <w:rPr>
          <w:lang w:val="it-IT"/>
        </w:rPr>
      </w:pPr>
      <w:r w:rsidRPr="0052711F">
        <w:rPr>
          <w:lang w:val="it-IT"/>
        </w:rPr>
        <w:t>3.4 Modul 4 — Dashboard (Admin UI)</w:t>
      </w:r>
    </w:p>
    <w:p w14:paraId="36EFA3AF" w14:textId="77777777" w:rsidR="00FF4357" w:rsidRPr="0052711F" w:rsidRDefault="00000000" w:rsidP="0052711F">
      <w:pPr>
        <w:spacing w:after="120"/>
        <w:jc w:val="both"/>
        <w:rPr>
          <w:lang w:val="it-IT"/>
        </w:rPr>
      </w:pPr>
      <w:r w:rsidRPr="0052711F">
        <w:rPr>
          <w:lang w:val="it-IT"/>
        </w:rPr>
        <w:t>Dashboard-ul de administrare oferă o interfață unificată pentru monitorizarea în timp real a platformei, vizualizarea metricilor și configurarea modulelor. Panoul Live Status afișează starea de sănătate a fiecărui serviciu și furnizor, throughput-ul și ultimele cereri procesate; Catalog API agregă descrierile (/v1/info) și specificațiile OpenAPI ale tuturor modulelor; panoul System Settings centralizează suprafața de configurare (96 de chei pe 8 module) și controlul accesului pe roluri.</w:t>
      </w:r>
    </w:p>
    <w:p w14:paraId="22673297" w14:textId="77777777" w:rsidR="00FF4357" w:rsidRDefault="00000000" w:rsidP="0052711F">
      <w:pPr>
        <w:spacing w:after="120"/>
        <w:jc w:val="both"/>
      </w:pPr>
      <w:r>
        <w:t>Dashboard-ul include de asemenea istoricul cererilor (Request History) cu filtrare și drill-down per modul/endpoint, asigurând trasabilitatea completă a acțiunilor și a procesărilor efectuate de platforma AI.</w:t>
      </w:r>
    </w:p>
    <w:p w14:paraId="6C0C7F4E" w14:textId="77777777" w:rsidR="00FF4357" w:rsidRDefault="00000000">
      <w:pPr>
        <w:spacing w:before="120"/>
        <w:jc w:val="center"/>
      </w:pPr>
      <w:r>
        <w:rPr>
          <w:noProof/>
        </w:rPr>
        <w:drawing>
          <wp:inline distT="0" distB="0" distL="0" distR="0" wp14:anchorId="5C28F6DF" wp14:editId="57A24E17">
            <wp:extent cx="5760000" cy="2701289"/>
            <wp:effectExtent l="0" t="0" r="444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2"/>
                    <a:stretch>
                      <a:fillRect/>
                    </a:stretch>
                  </pic:blipFill>
                  <pic:spPr>
                    <a:xfrm>
                      <a:off x="0" y="0"/>
                      <a:ext cx="5760000" cy="2701289"/>
                    </a:xfrm>
                    <a:prstGeom prst="rect">
                      <a:avLst/>
                    </a:prstGeom>
                  </pic:spPr>
                </pic:pic>
              </a:graphicData>
            </a:graphic>
          </wp:inline>
        </w:drawing>
      </w:r>
    </w:p>
    <w:p w14:paraId="367CB2DF" w14:textId="77777777" w:rsidR="00FF4357" w:rsidRDefault="00000000">
      <w:pPr>
        <w:spacing w:before="40" w:after="240"/>
        <w:jc w:val="center"/>
      </w:pPr>
      <w:r>
        <w:rPr>
          <w:i/>
          <w:color w:val="555555"/>
          <w:sz w:val="18"/>
        </w:rPr>
        <w:lastRenderedPageBreak/>
        <w:t>Fig. 7 — Live Status: sănătatea furnizorilor și a modelelor locale, throughput și ultimele 20 de cereri, reîmprospătate automat.</w:t>
      </w:r>
    </w:p>
    <w:p w14:paraId="68E6DF43" w14:textId="77777777" w:rsidR="00FF4357" w:rsidRDefault="00000000">
      <w:pPr>
        <w:spacing w:before="120"/>
        <w:jc w:val="center"/>
      </w:pPr>
      <w:r>
        <w:rPr>
          <w:noProof/>
        </w:rPr>
        <w:drawing>
          <wp:inline distT="0" distB="0" distL="0" distR="0" wp14:anchorId="7D7C4F9F" wp14:editId="250785EB">
            <wp:extent cx="5760000" cy="264856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13"/>
                    <a:stretch>
                      <a:fillRect/>
                    </a:stretch>
                  </pic:blipFill>
                  <pic:spPr>
                    <a:xfrm>
                      <a:off x="0" y="0"/>
                      <a:ext cx="5760000" cy="2648561"/>
                    </a:xfrm>
                    <a:prstGeom prst="rect">
                      <a:avLst/>
                    </a:prstGeom>
                  </pic:spPr>
                </pic:pic>
              </a:graphicData>
            </a:graphic>
          </wp:inline>
        </w:drawing>
      </w:r>
    </w:p>
    <w:p w14:paraId="7C100DC3" w14:textId="77777777" w:rsidR="00FF4357" w:rsidRDefault="00000000">
      <w:pPr>
        <w:spacing w:before="40" w:after="240"/>
        <w:jc w:val="center"/>
      </w:pPr>
      <w:r>
        <w:rPr>
          <w:i/>
          <w:color w:val="555555"/>
          <w:sz w:val="18"/>
        </w:rPr>
        <w:t>Fig. 8 — Catalog API: registru de servicii care agregă /v1/info și specificațiile OpenAPI ale tuturor modulelor platformei.</w:t>
      </w:r>
    </w:p>
    <w:p w14:paraId="0EECFEC9" w14:textId="77777777" w:rsidR="00FF4357" w:rsidRDefault="00000000">
      <w:pPr>
        <w:spacing w:before="120"/>
        <w:jc w:val="center"/>
      </w:pPr>
      <w:r>
        <w:rPr>
          <w:noProof/>
        </w:rPr>
        <w:drawing>
          <wp:inline distT="0" distB="0" distL="0" distR="0" wp14:anchorId="2CA9454A" wp14:editId="74D3F535">
            <wp:extent cx="5760000" cy="265758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png"/>
                    <pic:cNvPicPr/>
                  </pic:nvPicPr>
                  <pic:blipFill>
                    <a:blip r:embed="rId14"/>
                    <a:stretch>
                      <a:fillRect/>
                    </a:stretch>
                  </pic:blipFill>
                  <pic:spPr>
                    <a:xfrm>
                      <a:off x="0" y="0"/>
                      <a:ext cx="5760000" cy="2657589"/>
                    </a:xfrm>
                    <a:prstGeom prst="rect">
                      <a:avLst/>
                    </a:prstGeom>
                  </pic:spPr>
                </pic:pic>
              </a:graphicData>
            </a:graphic>
          </wp:inline>
        </w:drawing>
      </w:r>
    </w:p>
    <w:p w14:paraId="34F70BC2" w14:textId="77777777" w:rsidR="00FF4357" w:rsidRDefault="00000000">
      <w:pPr>
        <w:spacing w:before="40" w:after="240"/>
        <w:jc w:val="center"/>
      </w:pPr>
      <w:r>
        <w:rPr>
          <w:i/>
          <w:color w:val="555555"/>
          <w:sz w:val="18"/>
        </w:rPr>
        <w:t>Fig. 9 — Request History: jurnalul cererilor cu modul, endpoint, stare, durată și cost, pentru trasabilitate completă.</w:t>
      </w:r>
    </w:p>
    <w:p w14:paraId="048AE7CC" w14:textId="77777777" w:rsidR="00FF4357" w:rsidRDefault="00000000">
      <w:pPr>
        <w:spacing w:before="120"/>
        <w:jc w:val="center"/>
      </w:pPr>
      <w:r>
        <w:rPr>
          <w:noProof/>
        </w:rPr>
        <w:lastRenderedPageBreak/>
        <w:drawing>
          <wp:inline distT="0" distB="0" distL="0" distR="0" wp14:anchorId="0272DD7B" wp14:editId="0BA76877">
            <wp:extent cx="5760000" cy="26586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png"/>
                    <pic:cNvPicPr/>
                  </pic:nvPicPr>
                  <pic:blipFill>
                    <a:blip r:embed="rId15"/>
                    <a:stretch>
                      <a:fillRect/>
                    </a:stretch>
                  </pic:blipFill>
                  <pic:spPr>
                    <a:xfrm>
                      <a:off x="0" y="0"/>
                      <a:ext cx="5760000" cy="2658635"/>
                    </a:xfrm>
                    <a:prstGeom prst="rect">
                      <a:avLst/>
                    </a:prstGeom>
                  </pic:spPr>
                </pic:pic>
              </a:graphicData>
            </a:graphic>
          </wp:inline>
        </w:drawing>
      </w:r>
    </w:p>
    <w:p w14:paraId="5FEB3A2D" w14:textId="77777777" w:rsidR="00FF4357" w:rsidRDefault="00000000">
      <w:pPr>
        <w:spacing w:before="40" w:after="240"/>
        <w:jc w:val="center"/>
      </w:pPr>
      <w:r>
        <w:rPr>
          <w:i/>
          <w:color w:val="555555"/>
          <w:sz w:val="18"/>
        </w:rPr>
        <w:t>Fig. 10 — System Settings: stare sistem, sesiune autentificată (rol admin) și suprafața de configurare per modul (96 de chei).</w:t>
      </w:r>
    </w:p>
    <w:p w14:paraId="5E23AB9C" w14:textId="77777777" w:rsidR="00FF4357" w:rsidRDefault="00000000">
      <w:pPr>
        <w:pStyle w:val="Heading2"/>
      </w:pPr>
      <w:r>
        <w:t>3.5 Modul 5 — Cache</w:t>
      </w:r>
    </w:p>
    <w:p w14:paraId="197B62A8" w14:textId="77777777" w:rsidR="00FF4357" w:rsidRPr="0052711F" w:rsidRDefault="00000000" w:rsidP="0052711F">
      <w:pPr>
        <w:spacing w:after="120"/>
        <w:jc w:val="both"/>
        <w:rPr>
          <w:lang w:val="it-IT"/>
        </w:rPr>
      </w:pPr>
      <w:r>
        <w:t xml:space="preserve">Modulul Cache asigură stocarea temporară, cu latență redusă, a rezultatelor și artefactelor de procesare, reducând timpul de răspuns și numărul de execuții costisitoare pe modele și extractoare. </w:t>
      </w:r>
      <w:r w:rsidRPr="0052711F">
        <w:rPr>
          <w:lang w:val="it-IT"/>
        </w:rPr>
        <w:t>Cache-ul folosește chei deterministe (hash pe input + configurația modelului/extractorului + versiune) și politici TTL diferențiate pe tip de conținut, cu invalidare la re-analiză sau la schimbarea configurației.</w:t>
      </w:r>
    </w:p>
    <w:p w14:paraId="2D84787C" w14:textId="77777777" w:rsidR="00FF4357" w:rsidRPr="0052711F" w:rsidRDefault="00000000" w:rsidP="0052711F">
      <w:pPr>
        <w:spacing w:after="120"/>
        <w:jc w:val="both"/>
        <w:rPr>
          <w:lang w:val="it-IT"/>
        </w:rPr>
      </w:pPr>
      <w:r w:rsidRPr="0052711F">
        <w:rPr>
          <w:lang w:val="it-IT"/>
        </w:rPr>
        <w:t>Verificarea a confirmat politicile de păstrare configurabile din consolă: TTL pentru cache-ul de verificare (30 de zile), respectiv pentru atomii de analiză pe niveluri de calitate (silver 90 de zile, bronze 30 de zile, prag de încredere 60). Suplimentar, modulul oferă deduplicare de cereri (idempotency keys), lock-uri distribuite, contoare de rate limiting și notificări în timp real către Dashboard.</w:t>
      </w:r>
    </w:p>
    <w:p w14:paraId="4E0F0264" w14:textId="77777777" w:rsidR="00FF4357" w:rsidRDefault="00000000">
      <w:pPr>
        <w:spacing w:before="120"/>
        <w:jc w:val="center"/>
      </w:pPr>
      <w:r>
        <w:rPr>
          <w:noProof/>
        </w:rPr>
        <w:lastRenderedPageBreak/>
        <w:drawing>
          <wp:inline distT="0" distB="0" distL="0" distR="0" wp14:anchorId="305F5A3A" wp14:editId="551527FE">
            <wp:extent cx="5760000" cy="268693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png"/>
                    <pic:cNvPicPr/>
                  </pic:nvPicPr>
                  <pic:blipFill>
                    <a:blip r:embed="rId16"/>
                    <a:stretch>
                      <a:fillRect/>
                    </a:stretch>
                  </pic:blipFill>
                  <pic:spPr>
                    <a:xfrm>
                      <a:off x="0" y="0"/>
                      <a:ext cx="5760000" cy="2686934"/>
                    </a:xfrm>
                    <a:prstGeom prst="rect">
                      <a:avLst/>
                    </a:prstGeom>
                  </pic:spPr>
                </pic:pic>
              </a:graphicData>
            </a:graphic>
          </wp:inline>
        </w:drawing>
      </w:r>
    </w:p>
    <w:p w14:paraId="30DB8BE6" w14:textId="77777777" w:rsidR="00FF4357" w:rsidRPr="0052711F" w:rsidRDefault="00000000">
      <w:pPr>
        <w:spacing w:before="40" w:after="240"/>
        <w:jc w:val="center"/>
        <w:rPr>
          <w:lang w:val="it-IT"/>
        </w:rPr>
      </w:pPr>
      <w:r w:rsidRPr="0052711F">
        <w:rPr>
          <w:i/>
          <w:color w:val="555555"/>
          <w:sz w:val="18"/>
          <w:lang w:val="it-IT"/>
        </w:rPr>
        <w:t>Fig. 11 — Configurarea politicilor de cache: TTL cache verificare (30 zile) și TTL pe niveluri de calitate (silver 90 zile / bronze 30 zile, prag încredere 60).</w:t>
      </w:r>
    </w:p>
    <w:p w14:paraId="7192BAA9" w14:textId="77777777" w:rsidR="00FF4357" w:rsidRDefault="00000000">
      <w:pPr>
        <w:spacing w:before="120"/>
        <w:jc w:val="center"/>
      </w:pPr>
      <w:r>
        <w:rPr>
          <w:noProof/>
        </w:rPr>
        <w:drawing>
          <wp:inline distT="0" distB="0" distL="0" distR="0" wp14:anchorId="27AC306D" wp14:editId="13CA8C09">
            <wp:extent cx="5760000" cy="264459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png"/>
                    <pic:cNvPicPr/>
                  </pic:nvPicPr>
                  <pic:blipFill>
                    <a:blip r:embed="rId17"/>
                    <a:stretch>
                      <a:fillRect/>
                    </a:stretch>
                  </pic:blipFill>
                  <pic:spPr>
                    <a:xfrm>
                      <a:off x="0" y="0"/>
                      <a:ext cx="5760000" cy="2644599"/>
                    </a:xfrm>
                    <a:prstGeom prst="rect">
                      <a:avLst/>
                    </a:prstGeom>
                  </pic:spPr>
                </pic:pic>
              </a:graphicData>
            </a:graphic>
          </wp:inline>
        </w:drawing>
      </w:r>
    </w:p>
    <w:p w14:paraId="250FE9DF" w14:textId="77777777" w:rsidR="00FF4357" w:rsidRPr="0052711F" w:rsidRDefault="00000000">
      <w:pPr>
        <w:spacing w:before="40" w:after="240"/>
        <w:jc w:val="center"/>
        <w:rPr>
          <w:lang w:val="it-IT"/>
        </w:rPr>
      </w:pPr>
      <w:r w:rsidRPr="0052711F">
        <w:rPr>
          <w:i/>
          <w:color w:val="555555"/>
          <w:sz w:val="18"/>
          <w:lang w:val="it-IT"/>
        </w:rPr>
        <w:t>Fig. 12 — Cache-ul de verificare a afirmațiilor (rezultate per claim), cu nivel, stare, volatilitate, subiecte și model utilizat.</w:t>
      </w:r>
    </w:p>
    <w:p w14:paraId="6E8BC8E1" w14:textId="77777777" w:rsidR="00FF4357" w:rsidRPr="0052711F" w:rsidRDefault="00000000">
      <w:pPr>
        <w:pStyle w:val="Heading2"/>
        <w:rPr>
          <w:lang w:val="it-IT"/>
        </w:rPr>
      </w:pPr>
      <w:r w:rsidRPr="0052711F">
        <w:rPr>
          <w:lang w:val="it-IT"/>
        </w:rPr>
        <w:t>3.6 Modul 6 — Containerizare, CI/CD și orchestrare (arhitectură cloud-native)</w:t>
      </w:r>
    </w:p>
    <w:p w14:paraId="03A65AC6" w14:textId="77777777" w:rsidR="00FF4357" w:rsidRPr="0052711F" w:rsidRDefault="00000000" w:rsidP="0052711F">
      <w:pPr>
        <w:spacing w:after="120"/>
        <w:jc w:val="both"/>
        <w:rPr>
          <w:lang w:val="it-IT"/>
        </w:rPr>
      </w:pPr>
      <w:r w:rsidRPr="0052711F">
        <w:rPr>
          <w:lang w:val="it-IT"/>
        </w:rPr>
        <w:t>Toate componentele platformei AI sunt containerizate prin Docker și orchestrate prin Docker Compose, fiecare modul respectând o structură standardizată de deploy (deploy.sh cu validare fail-fast a variabilelor de mediu, docker-compose.yml cu health-checks și profile per mediu, Dockerfile multi-stage cu utilizator non-root). Convenția de porturi pe 5 cifre separă mediile de producție (1xxxx) și dezvoltare (5xxxx).</w:t>
      </w:r>
    </w:p>
    <w:p w14:paraId="1FF51B4C" w14:textId="77777777" w:rsidR="00FF4357" w:rsidRDefault="00000000" w:rsidP="0052711F">
      <w:pPr>
        <w:spacing w:after="120"/>
        <w:jc w:val="both"/>
      </w:pPr>
      <w:r w:rsidRPr="0052711F">
        <w:rPr>
          <w:lang w:val="it-IT"/>
        </w:rPr>
        <w:lastRenderedPageBreak/>
        <w:t xml:space="preserve">Faptul că întreaga platformă a putut fi interogată live, fiecare serviciu raportând starea prin endpoint-ul propriu /health și prin orchestrarea cu dependențe (depends_on / service_healthy), constituie dovada directă a funcționării acestui modul. </w:t>
      </w:r>
      <w:r>
        <w:t>Calitatea codului este asigurată printr-un pipeline standardizat (Ruff, type hints, pytest, pre-commit hooks). Gateway-ul de acces (nginx) cu tabel de rute și token este gestionat ca configurație statică, rotită prin redeploy.</w:t>
      </w:r>
    </w:p>
    <w:p w14:paraId="19250363" w14:textId="77777777" w:rsidR="00FF4357" w:rsidRDefault="00000000">
      <w:pPr>
        <w:spacing w:before="120"/>
        <w:jc w:val="center"/>
      </w:pPr>
      <w:r>
        <w:rPr>
          <w:noProof/>
        </w:rPr>
        <w:drawing>
          <wp:inline distT="0" distB="0" distL="0" distR="0" wp14:anchorId="5C6ADEDA" wp14:editId="0AF44A22">
            <wp:extent cx="5760000" cy="266228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png"/>
                    <pic:cNvPicPr/>
                  </pic:nvPicPr>
                  <pic:blipFill>
                    <a:blip r:embed="rId18"/>
                    <a:stretch>
                      <a:fillRect/>
                    </a:stretch>
                  </pic:blipFill>
                  <pic:spPr>
                    <a:xfrm>
                      <a:off x="0" y="0"/>
                      <a:ext cx="5760000" cy="2662280"/>
                    </a:xfrm>
                    <a:prstGeom prst="rect">
                      <a:avLst/>
                    </a:prstGeom>
                  </pic:spPr>
                </pic:pic>
              </a:graphicData>
            </a:graphic>
          </wp:inline>
        </w:drawing>
      </w:r>
    </w:p>
    <w:p w14:paraId="3BFF9919" w14:textId="77777777" w:rsidR="00FF4357" w:rsidRPr="0052711F" w:rsidRDefault="00000000">
      <w:pPr>
        <w:spacing w:before="40" w:after="240"/>
        <w:jc w:val="center"/>
        <w:rPr>
          <w:lang w:val="it-IT"/>
        </w:rPr>
      </w:pPr>
      <w:r w:rsidRPr="0052711F">
        <w:rPr>
          <w:i/>
          <w:color w:val="555555"/>
          <w:sz w:val="18"/>
          <w:lang w:val="it-IT"/>
        </w:rPr>
        <w:t>Fig. 13 — Gateway de acces al platformei AI (configurație statică nginx: token + tabel de rute), gestionat prin procesul de deploy.</w:t>
      </w:r>
    </w:p>
    <w:p w14:paraId="57A12D65" w14:textId="77777777" w:rsidR="00FF4357" w:rsidRPr="0052711F" w:rsidRDefault="00000000">
      <w:pPr>
        <w:pStyle w:val="Heading2"/>
        <w:rPr>
          <w:lang w:val="it-IT"/>
        </w:rPr>
      </w:pPr>
      <w:r w:rsidRPr="0052711F">
        <w:rPr>
          <w:lang w:val="it-IT"/>
        </w:rPr>
        <w:t>3.7 Servicii AI complementare</w:t>
      </w:r>
    </w:p>
    <w:p w14:paraId="5D57694F" w14:textId="77777777" w:rsidR="00FF4357" w:rsidRPr="0052711F" w:rsidRDefault="00000000" w:rsidP="0052711F">
      <w:pPr>
        <w:spacing w:after="120"/>
        <w:jc w:val="both"/>
        <w:rPr>
          <w:lang w:val="it-IT"/>
        </w:rPr>
      </w:pPr>
      <w:r w:rsidRPr="0052711F">
        <w:rPr>
          <w:lang w:val="it-IT"/>
        </w:rPr>
        <w:t>Pe lângă cele șase module obligatorii, platforma AI include servicii complementare care susțin analiza semantică și calitatea verificării afirmațiilor, toate funcționale și verificate:</w:t>
      </w:r>
    </w:p>
    <w:p w14:paraId="7D6FF1EF" w14:textId="77777777" w:rsidR="00FF4357" w:rsidRPr="0052711F" w:rsidRDefault="00000000" w:rsidP="0052711F">
      <w:pPr>
        <w:spacing w:after="60"/>
        <w:jc w:val="both"/>
        <w:rPr>
          <w:lang w:val="it-IT"/>
        </w:rPr>
      </w:pPr>
      <w:r w:rsidRPr="0052711F">
        <w:rPr>
          <w:lang w:val="it-IT"/>
        </w:rPr>
        <w:t>• Embeddings (reprezentări vectoriale) — model BAAI/bge-m3 (1024 dimensiuni, multilingv), API compatibil OpenAI, cu backend dublu (vLLM / llama.cpp).</w:t>
      </w:r>
    </w:p>
    <w:p w14:paraId="4AA14FCA" w14:textId="77777777" w:rsidR="00FF4357" w:rsidRPr="0052711F" w:rsidRDefault="00000000" w:rsidP="0052711F">
      <w:pPr>
        <w:spacing w:after="60"/>
        <w:jc w:val="both"/>
        <w:rPr>
          <w:lang w:val="it-IT"/>
        </w:rPr>
      </w:pPr>
      <w:r w:rsidRPr="0052711F">
        <w:rPr>
          <w:lang w:val="it-IT"/>
        </w:rPr>
        <w:t>• Reranking (reordonare semantică) — model BAAI/bge-reranker-v2-m3 (cross-encoder), API compatibil Cohere/Jina, utilizat pentru precizia retrieval-ului.</w:t>
      </w:r>
    </w:p>
    <w:p w14:paraId="297EDCDD" w14:textId="77777777" w:rsidR="00FF4357" w:rsidRPr="0052711F" w:rsidRDefault="00000000" w:rsidP="0052711F">
      <w:pPr>
        <w:spacing w:after="60"/>
        <w:jc w:val="both"/>
        <w:rPr>
          <w:lang w:val="it-IT"/>
        </w:rPr>
      </w:pPr>
      <w:r w:rsidRPr="0052711F">
        <w:rPr>
          <w:lang w:val="it-IT"/>
        </w:rPr>
        <w:t>• Baza de cunoștințe RAG / Brain — corpus de atomi de cunoaștere (techniques, ai_tampered, claims) cu niveluri de calitate (gold/silver/bronze), versionare a stării faptelor (fact status), invalidare în masă, statistici și taxonomie (79 de etichete pe 12 spații de nume).</w:t>
      </w:r>
    </w:p>
    <w:p w14:paraId="02EBD405" w14:textId="77777777" w:rsidR="00FF4357" w:rsidRDefault="00000000" w:rsidP="0052711F">
      <w:pPr>
        <w:spacing w:after="120"/>
        <w:jc w:val="both"/>
      </w:pPr>
      <w:r>
        <w:t>• Observabilitate operațională — panourile Cost (consum per furnizor/nivel), Providers (sănătatea furnizorilor) și Audit Log (jurnal de mutații) completează administrarea platformei.</w:t>
      </w:r>
    </w:p>
    <w:p w14:paraId="2C316D1A" w14:textId="77777777" w:rsidR="00FF4357" w:rsidRDefault="00000000">
      <w:pPr>
        <w:spacing w:before="120"/>
        <w:jc w:val="center"/>
      </w:pPr>
      <w:r>
        <w:rPr>
          <w:noProof/>
        </w:rPr>
        <w:lastRenderedPageBreak/>
        <w:drawing>
          <wp:inline distT="0" distB="0" distL="0" distR="0" wp14:anchorId="58CCB445" wp14:editId="402CA491">
            <wp:extent cx="5760000" cy="271045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19"/>
                    <a:stretch>
                      <a:fillRect/>
                    </a:stretch>
                  </pic:blipFill>
                  <pic:spPr>
                    <a:xfrm>
                      <a:off x="0" y="0"/>
                      <a:ext cx="5760000" cy="2710454"/>
                    </a:xfrm>
                    <a:prstGeom prst="rect">
                      <a:avLst/>
                    </a:prstGeom>
                  </pic:spPr>
                </pic:pic>
              </a:graphicData>
            </a:graphic>
          </wp:inline>
        </w:drawing>
      </w:r>
    </w:p>
    <w:p w14:paraId="7F335B81" w14:textId="77777777" w:rsidR="00FF4357" w:rsidRDefault="00000000">
      <w:pPr>
        <w:spacing w:before="40" w:after="240"/>
        <w:jc w:val="center"/>
      </w:pPr>
      <w:r>
        <w:rPr>
          <w:i/>
          <w:color w:val="555555"/>
          <w:sz w:val="18"/>
        </w:rPr>
        <w:t>Fig. 14 — Serviciul Embeddings (BAAI/bge-m3, 1024 dimensiuni): backend, timeouts, rate limiting.</w:t>
      </w:r>
    </w:p>
    <w:p w14:paraId="704A6BA1" w14:textId="77777777" w:rsidR="00FF4357" w:rsidRDefault="00000000">
      <w:pPr>
        <w:spacing w:before="120"/>
        <w:jc w:val="center"/>
      </w:pPr>
      <w:r>
        <w:rPr>
          <w:noProof/>
        </w:rPr>
        <w:drawing>
          <wp:inline distT="0" distB="0" distL="0" distR="0" wp14:anchorId="0BB21EED" wp14:editId="4B59322E">
            <wp:extent cx="5760000" cy="269670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20"/>
                    <a:stretch>
                      <a:fillRect/>
                    </a:stretch>
                  </pic:blipFill>
                  <pic:spPr>
                    <a:xfrm>
                      <a:off x="0" y="0"/>
                      <a:ext cx="5760000" cy="2696707"/>
                    </a:xfrm>
                    <a:prstGeom prst="rect">
                      <a:avLst/>
                    </a:prstGeom>
                  </pic:spPr>
                </pic:pic>
              </a:graphicData>
            </a:graphic>
          </wp:inline>
        </w:drawing>
      </w:r>
    </w:p>
    <w:p w14:paraId="721004C8" w14:textId="77777777" w:rsidR="00FF4357" w:rsidRDefault="00000000">
      <w:pPr>
        <w:spacing w:before="40" w:after="240"/>
        <w:jc w:val="center"/>
      </w:pPr>
      <w:r>
        <w:rPr>
          <w:i/>
          <w:color w:val="555555"/>
          <w:sz w:val="18"/>
        </w:rPr>
        <w:t>Fig. 15 — Serviciul Reranking (BAAI/bge-reranker-v2-m3, cross-encoder): backend și limite.</w:t>
      </w:r>
    </w:p>
    <w:p w14:paraId="6B947240" w14:textId="77777777" w:rsidR="00FF4357" w:rsidRDefault="00000000">
      <w:pPr>
        <w:spacing w:before="120"/>
        <w:jc w:val="center"/>
      </w:pPr>
      <w:r>
        <w:rPr>
          <w:noProof/>
        </w:rPr>
        <w:lastRenderedPageBreak/>
        <w:drawing>
          <wp:inline distT="0" distB="0" distL="0" distR="0" wp14:anchorId="37E6DE83" wp14:editId="2EF30C3A">
            <wp:extent cx="5760000" cy="265863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21"/>
                    <a:stretch>
                      <a:fillRect/>
                    </a:stretch>
                  </pic:blipFill>
                  <pic:spPr>
                    <a:xfrm>
                      <a:off x="0" y="0"/>
                      <a:ext cx="5760000" cy="2658635"/>
                    </a:xfrm>
                    <a:prstGeom prst="rect">
                      <a:avLst/>
                    </a:prstGeom>
                  </pic:spPr>
                </pic:pic>
              </a:graphicData>
            </a:graphic>
          </wp:inline>
        </w:drawing>
      </w:r>
    </w:p>
    <w:p w14:paraId="38EFFC5C" w14:textId="77777777" w:rsidR="00FF4357" w:rsidRDefault="00000000">
      <w:pPr>
        <w:spacing w:before="40" w:after="240"/>
        <w:jc w:val="center"/>
      </w:pPr>
      <w:r>
        <w:rPr>
          <w:i/>
          <w:color w:val="555555"/>
          <w:sz w:val="18"/>
        </w:rPr>
        <w:t>Fig. 16 — Baza de cunoștințe (Brain Atoms): atomi techniques / ai_tampered / claims pe niveluri de calitate.</w:t>
      </w:r>
    </w:p>
    <w:p w14:paraId="69B119AE" w14:textId="77777777" w:rsidR="00FF4357" w:rsidRDefault="00000000">
      <w:pPr>
        <w:spacing w:before="120"/>
        <w:jc w:val="center"/>
      </w:pPr>
      <w:r>
        <w:rPr>
          <w:noProof/>
        </w:rPr>
        <w:drawing>
          <wp:inline distT="0" distB="0" distL="0" distR="0" wp14:anchorId="3D28CF3C" wp14:editId="61A2F32E">
            <wp:extent cx="5760000" cy="258269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png"/>
                    <pic:cNvPicPr/>
                  </pic:nvPicPr>
                  <pic:blipFill>
                    <a:blip r:embed="rId22"/>
                    <a:stretch>
                      <a:fillRect/>
                    </a:stretch>
                  </pic:blipFill>
                  <pic:spPr>
                    <a:xfrm>
                      <a:off x="0" y="0"/>
                      <a:ext cx="5760000" cy="2582695"/>
                    </a:xfrm>
                    <a:prstGeom prst="rect">
                      <a:avLst/>
                    </a:prstGeom>
                  </pic:spPr>
                </pic:pic>
              </a:graphicData>
            </a:graphic>
          </wp:inline>
        </w:drawing>
      </w:r>
    </w:p>
    <w:p w14:paraId="4A331442" w14:textId="77777777" w:rsidR="00FF4357" w:rsidRPr="0052711F" w:rsidRDefault="00000000">
      <w:pPr>
        <w:spacing w:before="40" w:after="240"/>
        <w:jc w:val="center"/>
        <w:rPr>
          <w:lang w:val="it-IT"/>
        </w:rPr>
      </w:pPr>
      <w:r w:rsidRPr="0052711F">
        <w:rPr>
          <w:i/>
          <w:color w:val="555555"/>
          <w:sz w:val="18"/>
          <w:lang w:val="it-IT"/>
        </w:rPr>
        <w:t>Fig. 17 — Statistici bază de cunoștințe: distribuția atomilor pe niveluri și pe componente.</w:t>
      </w:r>
    </w:p>
    <w:p w14:paraId="249CFEF8" w14:textId="77777777" w:rsidR="00FF4357" w:rsidRDefault="00000000">
      <w:pPr>
        <w:spacing w:before="120"/>
        <w:jc w:val="center"/>
      </w:pPr>
      <w:r>
        <w:rPr>
          <w:noProof/>
        </w:rPr>
        <w:lastRenderedPageBreak/>
        <w:drawing>
          <wp:inline distT="0" distB="0" distL="0" distR="0" wp14:anchorId="4358295E" wp14:editId="2837C614">
            <wp:extent cx="5760000" cy="265968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png"/>
                    <pic:cNvPicPr/>
                  </pic:nvPicPr>
                  <pic:blipFill>
                    <a:blip r:embed="rId23"/>
                    <a:stretch>
                      <a:fillRect/>
                    </a:stretch>
                  </pic:blipFill>
                  <pic:spPr>
                    <a:xfrm>
                      <a:off x="0" y="0"/>
                      <a:ext cx="5760000" cy="2659685"/>
                    </a:xfrm>
                    <a:prstGeom prst="rect">
                      <a:avLst/>
                    </a:prstGeom>
                  </pic:spPr>
                </pic:pic>
              </a:graphicData>
            </a:graphic>
          </wp:inline>
        </w:drawing>
      </w:r>
    </w:p>
    <w:p w14:paraId="35EE4583" w14:textId="77777777" w:rsidR="00FF4357" w:rsidRDefault="00000000">
      <w:pPr>
        <w:spacing w:before="40" w:after="240"/>
        <w:jc w:val="center"/>
      </w:pPr>
      <w:r>
        <w:rPr>
          <w:i/>
          <w:color w:val="555555"/>
          <w:sz w:val="18"/>
        </w:rPr>
        <w:t>Fig. 18 — Fact Status: versionarea stării faptelor (subiect–predicat–obiect), cu volatilitate și blocare moderator.</w:t>
      </w:r>
    </w:p>
    <w:p w14:paraId="10ED8F21" w14:textId="77777777" w:rsidR="00FF4357" w:rsidRDefault="00000000">
      <w:pPr>
        <w:spacing w:before="120"/>
        <w:jc w:val="center"/>
      </w:pPr>
      <w:r>
        <w:rPr>
          <w:noProof/>
        </w:rPr>
        <w:drawing>
          <wp:inline distT="0" distB="0" distL="0" distR="0" wp14:anchorId="7EB6B950" wp14:editId="42F04047">
            <wp:extent cx="5760000" cy="266439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png"/>
                    <pic:cNvPicPr/>
                  </pic:nvPicPr>
                  <pic:blipFill>
                    <a:blip r:embed="rId24"/>
                    <a:stretch>
                      <a:fillRect/>
                    </a:stretch>
                  </pic:blipFill>
                  <pic:spPr>
                    <a:xfrm>
                      <a:off x="0" y="0"/>
                      <a:ext cx="5760000" cy="2664397"/>
                    </a:xfrm>
                    <a:prstGeom prst="rect">
                      <a:avLst/>
                    </a:prstGeom>
                  </pic:spPr>
                </pic:pic>
              </a:graphicData>
            </a:graphic>
          </wp:inline>
        </w:drawing>
      </w:r>
    </w:p>
    <w:p w14:paraId="0498A4FB" w14:textId="77777777" w:rsidR="00FF4357" w:rsidRPr="0052711F" w:rsidRDefault="00000000">
      <w:pPr>
        <w:spacing w:before="40" w:after="240"/>
        <w:jc w:val="center"/>
        <w:rPr>
          <w:lang w:val="it-IT"/>
        </w:rPr>
      </w:pPr>
      <w:r w:rsidRPr="0052711F">
        <w:rPr>
          <w:i/>
          <w:color w:val="555555"/>
          <w:sz w:val="18"/>
          <w:lang w:val="it-IT"/>
        </w:rPr>
        <w:t>Fig. 19 — Invalidare cache în masă, cu filtre (subiecte, entități, tipar) și previzualizare.</w:t>
      </w:r>
    </w:p>
    <w:p w14:paraId="6EFDE94D" w14:textId="77777777" w:rsidR="00FF4357" w:rsidRDefault="00000000">
      <w:pPr>
        <w:spacing w:before="120"/>
        <w:jc w:val="center"/>
      </w:pPr>
      <w:r>
        <w:rPr>
          <w:noProof/>
        </w:rPr>
        <w:lastRenderedPageBreak/>
        <w:drawing>
          <wp:inline distT="0" distB="0" distL="0" distR="0" wp14:anchorId="15DEB458" wp14:editId="1BB95190">
            <wp:extent cx="5760000" cy="268936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png"/>
                    <pic:cNvPicPr/>
                  </pic:nvPicPr>
                  <pic:blipFill>
                    <a:blip r:embed="rId25"/>
                    <a:stretch>
                      <a:fillRect/>
                    </a:stretch>
                  </pic:blipFill>
                  <pic:spPr>
                    <a:xfrm>
                      <a:off x="0" y="0"/>
                      <a:ext cx="5760000" cy="2689361"/>
                    </a:xfrm>
                    <a:prstGeom prst="rect">
                      <a:avLst/>
                    </a:prstGeom>
                  </pic:spPr>
                </pic:pic>
              </a:graphicData>
            </a:graphic>
          </wp:inline>
        </w:drawing>
      </w:r>
    </w:p>
    <w:p w14:paraId="1DEC310D" w14:textId="77777777" w:rsidR="00FF4357" w:rsidRPr="0052711F" w:rsidRDefault="00000000">
      <w:pPr>
        <w:spacing w:before="40" w:after="240"/>
        <w:jc w:val="center"/>
        <w:rPr>
          <w:lang w:val="it-IT"/>
        </w:rPr>
      </w:pPr>
      <w:r w:rsidRPr="0052711F">
        <w:rPr>
          <w:i/>
          <w:color w:val="555555"/>
          <w:sz w:val="18"/>
          <w:lang w:val="it-IT"/>
        </w:rPr>
        <w:t>Fig. 20 — Taxonomie: 79 de etichete organizate pe 12 spații de nume.</w:t>
      </w:r>
    </w:p>
    <w:p w14:paraId="09227FCA" w14:textId="77777777" w:rsidR="00FF4357" w:rsidRDefault="00000000">
      <w:pPr>
        <w:spacing w:before="120"/>
        <w:jc w:val="center"/>
      </w:pPr>
      <w:r>
        <w:rPr>
          <w:noProof/>
        </w:rPr>
        <w:drawing>
          <wp:inline distT="0" distB="0" distL="0" distR="0" wp14:anchorId="2F7AC0A1" wp14:editId="133CA6A0">
            <wp:extent cx="5760000" cy="266490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png"/>
                    <pic:cNvPicPr/>
                  </pic:nvPicPr>
                  <pic:blipFill>
                    <a:blip r:embed="rId26"/>
                    <a:stretch>
                      <a:fillRect/>
                    </a:stretch>
                  </pic:blipFill>
                  <pic:spPr>
                    <a:xfrm>
                      <a:off x="0" y="0"/>
                      <a:ext cx="5760000" cy="2664906"/>
                    </a:xfrm>
                    <a:prstGeom prst="rect">
                      <a:avLst/>
                    </a:prstGeom>
                  </pic:spPr>
                </pic:pic>
              </a:graphicData>
            </a:graphic>
          </wp:inline>
        </w:drawing>
      </w:r>
    </w:p>
    <w:p w14:paraId="0B8D277A" w14:textId="77777777" w:rsidR="00FF4357" w:rsidRDefault="00000000">
      <w:pPr>
        <w:spacing w:before="40" w:after="240"/>
        <w:jc w:val="center"/>
      </w:pPr>
      <w:r>
        <w:rPr>
          <w:i/>
          <w:color w:val="555555"/>
          <w:sz w:val="18"/>
        </w:rPr>
        <w:t>Fig. 21 — Cost: consum agregat (24h/7d/30d) și utilizarea cotelor per furnizor.</w:t>
      </w:r>
    </w:p>
    <w:p w14:paraId="4130248C" w14:textId="77777777" w:rsidR="00FF4357" w:rsidRDefault="00000000">
      <w:pPr>
        <w:spacing w:before="120"/>
        <w:jc w:val="center"/>
      </w:pPr>
      <w:r>
        <w:rPr>
          <w:noProof/>
        </w:rPr>
        <w:lastRenderedPageBreak/>
        <w:drawing>
          <wp:inline distT="0" distB="0" distL="0" distR="0" wp14:anchorId="18D0FC34" wp14:editId="24681396">
            <wp:extent cx="5760000" cy="270078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ng"/>
                    <pic:cNvPicPr/>
                  </pic:nvPicPr>
                  <pic:blipFill>
                    <a:blip r:embed="rId27"/>
                    <a:stretch>
                      <a:fillRect/>
                    </a:stretch>
                  </pic:blipFill>
                  <pic:spPr>
                    <a:xfrm>
                      <a:off x="0" y="0"/>
                      <a:ext cx="5760000" cy="2700785"/>
                    </a:xfrm>
                    <a:prstGeom prst="rect">
                      <a:avLst/>
                    </a:prstGeom>
                  </pic:spPr>
                </pic:pic>
              </a:graphicData>
            </a:graphic>
          </wp:inline>
        </w:drawing>
      </w:r>
    </w:p>
    <w:p w14:paraId="6EF6F5A9" w14:textId="77777777" w:rsidR="00FF4357" w:rsidRPr="0052711F" w:rsidRDefault="00000000">
      <w:pPr>
        <w:spacing w:before="40" w:after="240"/>
        <w:jc w:val="center"/>
        <w:rPr>
          <w:lang w:val="it-IT"/>
        </w:rPr>
      </w:pPr>
      <w:r w:rsidRPr="0052711F">
        <w:rPr>
          <w:i/>
          <w:color w:val="555555"/>
          <w:sz w:val="18"/>
          <w:lang w:val="it-IT"/>
        </w:rPr>
        <w:t>Fig. 22 — Schema Overrides: registrul cheilor de configurare per modul (tip, valoare implicită, necesar restart), cu posibilitate de suprascriere din consolă.</w:t>
      </w:r>
    </w:p>
    <w:p w14:paraId="133B3654" w14:textId="77777777" w:rsidR="00FF4357" w:rsidRDefault="00000000">
      <w:pPr>
        <w:spacing w:before="120"/>
        <w:jc w:val="center"/>
      </w:pPr>
      <w:r>
        <w:rPr>
          <w:noProof/>
        </w:rPr>
        <w:drawing>
          <wp:inline distT="0" distB="0" distL="0" distR="0" wp14:anchorId="47C419EA" wp14:editId="4922F73B">
            <wp:extent cx="5760000" cy="268236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png"/>
                    <pic:cNvPicPr/>
                  </pic:nvPicPr>
                  <pic:blipFill>
                    <a:blip r:embed="rId28"/>
                    <a:stretch>
                      <a:fillRect/>
                    </a:stretch>
                  </pic:blipFill>
                  <pic:spPr>
                    <a:xfrm>
                      <a:off x="0" y="0"/>
                      <a:ext cx="5760000" cy="2682364"/>
                    </a:xfrm>
                    <a:prstGeom prst="rect">
                      <a:avLst/>
                    </a:prstGeom>
                  </pic:spPr>
                </pic:pic>
              </a:graphicData>
            </a:graphic>
          </wp:inline>
        </w:drawing>
      </w:r>
    </w:p>
    <w:p w14:paraId="619FF793" w14:textId="77777777" w:rsidR="00FF4357" w:rsidRDefault="00000000">
      <w:pPr>
        <w:spacing w:before="40" w:after="240"/>
        <w:jc w:val="center"/>
      </w:pPr>
      <w:r>
        <w:rPr>
          <w:i/>
          <w:color w:val="555555"/>
          <w:sz w:val="18"/>
        </w:rPr>
        <w:t>Fig. 23 — Audit Log: jurnalul mutațiilor de cache și de stare a faptelor.</w:t>
      </w:r>
    </w:p>
    <w:p w14:paraId="50E9B20B" w14:textId="77777777" w:rsidR="00FF4357" w:rsidRDefault="00000000">
      <w:pPr>
        <w:pStyle w:val="Heading1"/>
      </w:pPr>
      <w:r>
        <w:t>4. Concluzii</w:t>
      </w:r>
    </w:p>
    <w:p w14:paraId="30604290" w14:textId="77777777" w:rsidR="00FF4357" w:rsidRDefault="00000000" w:rsidP="0052711F">
      <w:pPr>
        <w:spacing w:after="120"/>
        <w:jc w:val="both"/>
      </w:pPr>
      <w:r>
        <w:t>În urma verificării funcționale, se constată că toate cele șase module solicitate prin caietul de sarcini pentru LOT 1 — Sistem de inteligență artificială — sunt implementate, instalate pe infrastructura proiectului și operaționale: (1) Inferență LLM, (2) Extractor ML și analiză media, (3) Web crawl / evidence collector, (4) Dashboard Admin, (5) Cache și (6) Containerizare, CI/CD și orchestrare. Suplimentar, platforma include servicii complementare (Embeddings, Reranking, bază de cunoștințe RAG/Brain, observabilitate) care extind capabilitățile de analiză.</w:t>
      </w:r>
    </w:p>
    <w:p w14:paraId="77E65DBC" w14:textId="77777777" w:rsidR="00FF4357" w:rsidRPr="0052711F" w:rsidRDefault="00000000">
      <w:pPr>
        <w:spacing w:after="360"/>
        <w:rPr>
          <w:lang w:val="it-IT"/>
        </w:rPr>
      </w:pPr>
      <w:r>
        <w:lastRenderedPageBreak/>
        <w:t xml:space="preserve">Fiecare modul a fost confirmat prin interogare directă (health-check și API) și prin consola de administrare a platformei, dovezile fiind anexate ca figuri în prezentul document. </w:t>
      </w:r>
      <w:r w:rsidRPr="0052711F">
        <w:rPr>
          <w:lang w:val="it-IT"/>
        </w:rPr>
        <w:t>Sistemul AI este pregătit pentru integrarea cu aplicația backend a platformei DIDI.</w:t>
      </w:r>
    </w:p>
    <w:tbl>
      <w:tblPr>
        <w:tblW w:w="0" w:type="auto"/>
        <w:jc w:val="center"/>
        <w:tblLook w:val="04A0" w:firstRow="1" w:lastRow="0" w:firstColumn="1" w:lastColumn="0" w:noHBand="0" w:noVBand="1"/>
      </w:tblPr>
      <w:tblGrid>
        <w:gridCol w:w="4320"/>
        <w:gridCol w:w="4320"/>
      </w:tblGrid>
      <w:tr w:rsidR="00FF4357" w14:paraId="10C4100D" w14:textId="77777777">
        <w:trPr>
          <w:jc w:val="center"/>
        </w:trPr>
        <w:tc>
          <w:tcPr>
            <w:tcW w:w="4320" w:type="dxa"/>
          </w:tcPr>
          <w:p w14:paraId="5BA6E3D1" w14:textId="77777777" w:rsidR="00FF4357" w:rsidRDefault="00000000">
            <w:r>
              <w:rPr>
                <w:b/>
              </w:rPr>
              <w:t>Din partea executantului,</w:t>
            </w:r>
          </w:p>
        </w:tc>
        <w:tc>
          <w:tcPr>
            <w:tcW w:w="4320" w:type="dxa"/>
          </w:tcPr>
          <w:p w14:paraId="2C7E9FC5" w14:textId="77777777" w:rsidR="00FF4357" w:rsidRDefault="00000000">
            <w:r>
              <w:rPr>
                <w:b/>
              </w:rPr>
              <w:t>Din partea beneficiarului (TOP CLOSSERS SRL),</w:t>
            </w:r>
          </w:p>
        </w:tc>
      </w:tr>
      <w:tr w:rsidR="00FF4357" w14:paraId="789265F3" w14:textId="77777777">
        <w:trPr>
          <w:jc w:val="center"/>
        </w:trPr>
        <w:tc>
          <w:tcPr>
            <w:tcW w:w="4320" w:type="dxa"/>
          </w:tcPr>
          <w:p w14:paraId="4CA88123" w14:textId="77777777" w:rsidR="00FF4357" w:rsidRDefault="00000000">
            <w:r>
              <w:br/>
            </w:r>
            <w:r>
              <w:br/>
              <w:t>Nume / Semnătură: __________________</w:t>
            </w:r>
            <w:r>
              <w:br/>
              <w:t>Data: 25.06.2026</w:t>
            </w:r>
          </w:p>
        </w:tc>
        <w:tc>
          <w:tcPr>
            <w:tcW w:w="4320" w:type="dxa"/>
          </w:tcPr>
          <w:p w14:paraId="776F0151" w14:textId="77777777" w:rsidR="00FF4357" w:rsidRDefault="00000000">
            <w:r>
              <w:br/>
            </w:r>
            <w:r>
              <w:br/>
              <w:t>Nume / Semnătură: __________________</w:t>
            </w:r>
            <w:r>
              <w:br/>
              <w:t>Data: 25.06.2026</w:t>
            </w:r>
          </w:p>
        </w:tc>
      </w:tr>
    </w:tbl>
    <w:p w14:paraId="235E2047" w14:textId="77777777" w:rsidR="009278BB" w:rsidRDefault="009278BB"/>
    <w:sectPr w:rsidR="009278BB"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92368209">
    <w:abstractNumId w:val="8"/>
  </w:num>
  <w:num w:numId="2" w16cid:durableId="824660688">
    <w:abstractNumId w:val="6"/>
  </w:num>
  <w:num w:numId="3" w16cid:durableId="1687973559">
    <w:abstractNumId w:val="5"/>
  </w:num>
  <w:num w:numId="4" w16cid:durableId="1133671117">
    <w:abstractNumId w:val="4"/>
  </w:num>
  <w:num w:numId="5" w16cid:durableId="1140657096">
    <w:abstractNumId w:val="7"/>
  </w:num>
  <w:num w:numId="6" w16cid:durableId="448747697">
    <w:abstractNumId w:val="3"/>
  </w:num>
  <w:num w:numId="7" w16cid:durableId="1291857246">
    <w:abstractNumId w:val="2"/>
  </w:num>
  <w:num w:numId="8" w16cid:durableId="1611281642">
    <w:abstractNumId w:val="1"/>
  </w:num>
  <w:num w:numId="9" w16cid:durableId="1768454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E62FC"/>
    <w:rsid w:val="0015074B"/>
    <w:rsid w:val="0029639D"/>
    <w:rsid w:val="00326F90"/>
    <w:rsid w:val="0052711F"/>
    <w:rsid w:val="009278BB"/>
    <w:rsid w:val="00AA1D8D"/>
    <w:rsid w:val="00B47730"/>
    <w:rsid w:val="00CB0664"/>
    <w:rsid w:val="00FC693F"/>
    <w:rsid w:val="00FF43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36BE6D"/>
  <w14:defaultImageDpi w14:val="300"/>
  <w15:docId w15:val="{2D768AB5-11A9-4882-9618-29CAD8B3A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3A5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F3A5F"/>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1F3A5F"/>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1964</Words>
  <Characters>11199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13137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Alexe Vasile-Emilian</cp:lastModifiedBy>
  <cp:revision>2</cp:revision>
  <dcterms:created xsi:type="dcterms:W3CDTF">2013-12-23T23:15:00Z</dcterms:created>
  <dcterms:modified xsi:type="dcterms:W3CDTF">2026-06-25T21:00:00Z</dcterms:modified>
  <cp:category/>
</cp:coreProperties>
</file>